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88R2942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2599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possession of a firearm by a person in a criminal street gang; creating a criminal offense; increasing criminal penalties; changing eligibility for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46.04, Penal Code, is amended by amending Subsections (a-1) and (e) and adding Subsection (a-2) to read as follows:</w:t>
      </w:r>
    </w:p>
    <w:p w:rsidR="003F3435" w:rsidRDefault="0032493E">
      <w:pPr>
        <w:spacing w:line="480" w:lineRule="auto"/>
        <w:ind w:firstLine="720"/>
        <w:jc w:val="both"/>
      </w:pPr>
      <w:r>
        <w:t xml:space="preserve">(a-1)</w:t>
      </w:r>
      <w:r xml:space="preserve">
        <w:t> </w:t>
      </w:r>
      <w:r xml:space="preserve">
        <w:t> </w:t>
      </w:r>
      <w:r>
        <w:t xml:space="preserve">A person who is a member of a criminal street gang, as defined by Section 71.01, commits an offense if the person </w:t>
      </w:r>
      <w:r>
        <w:rPr>
          <w:u w:val="single"/>
        </w:rPr>
        <w:t xml:space="preserve">possesses a firearm</w:t>
      </w:r>
      <w:r>
        <w:t xml:space="preserve"> [</w:t>
      </w:r>
      <w:r>
        <w:rPr>
          <w:strike/>
        </w:rPr>
        <w:t xml:space="preserve">intentionally, knowingly, or recklessly carries on or about his or her person a handgun in a motor vehicle or watercraft</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It is an affirmative defense to prosecution under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information is not included in the intelligence database under Chapter 67,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information is included in the intelligence database under Chapter 67, Code of Criminal Procedure, and a district court made a finding under Article 67.203(c) of that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suspicion does not exist to believe that the information is accurate;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inclusion of the information in the database does not comply with the submission criteria under Article 67.054(b), Code of Criminal Procedure.</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w:t>
      </w:r>
      <w:r>
        <w:t xml:space="preserve"> </w:t>
      </w:r>
      <w:r>
        <w:rPr>
          <w:u w:val="single"/>
        </w:rPr>
        <w:t xml:space="preserve">An offense under Subsection (a-1) is a felony of the second degree.</w:t>
      </w:r>
      <w:r>
        <w:t xml:space="preserve"> </w:t>
      </w:r>
      <w:r>
        <w:t xml:space="preserve"> </w:t>
      </w:r>
      <w:r>
        <w:t xml:space="preserve">An offense under Subsection [</w:t>
      </w:r>
      <w:r>
        <w:rPr>
          <w:strike/>
        </w:rPr>
        <w:t xml:space="preserve">(a-1),</w:t>
      </w:r>
      <w:r>
        <w:t xml:space="preserve">] (b)[</w:t>
      </w:r>
      <w:r>
        <w:rPr>
          <w:strike/>
        </w:rPr>
        <w:t xml:space="preserve">,</w:t>
      </w:r>
      <w:r>
        <w:t xml:space="preserve">] or (c)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w:t>
      </w:r>
      <w:r>
        <w:rPr>
          <w:u w:val="single"/>
        </w:rPr>
        <w:t xml:space="preserve">46.04(a-1),</w:t>
      </w:r>
      <w:r>
        <w:t xml:space="preserve"> 46.06(a)(1)</w:t>
      </w:r>
      <w:r>
        <w:rPr>
          <w:u w:val="single"/>
        </w:rPr>
        <w:t xml:space="preserve">,</w:t>
      </w:r>
      <w:r>
        <w:t xml:space="preserve">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Section 46.04(a-1), Penal Code;</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