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88R5987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procedures for voters to vote a limited ballot in a new county of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112.002(d),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statement executed under Subsection (c) shall be submitted: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an election officer at </w:t>
      </w:r>
      <w:r>
        <w:rPr>
          <w:u w:val="single"/>
        </w:rPr>
        <w:t xml:space="preserve">any early voting polling place designated by the county as a polling place where voters may submit a limited ballot</w:t>
      </w:r>
      <w:r>
        <w:t xml:space="preserve"> [</w:t>
      </w:r>
      <w:r>
        <w:rPr>
          <w:strike/>
        </w:rPr>
        <w:t xml:space="preserve">the main early voting polling place</w:t>
      </w:r>
      <w:r>
        <w:t xml:space="preserve">], if the person is voting by personal appearance;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with the person's application for a ballot to be voted by mail, if the person is voting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