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88R10603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2632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false, misleading, or deceptive advertising made in connection with a reverse mortgage loan agreement.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Finance Code, is amended by adding Chapter 344 to read as follows:</w:t>
      </w:r>
    </w:p>
    <w:p w:rsidR="003F3435" w:rsidRDefault="0032493E">
      <w:pPr>
        <w:spacing w:line="480" w:lineRule="auto"/>
        <w:jc w:val="center"/>
      </w:pPr>
      <w:r>
        <w:rPr>
          <w:u w:val="single"/>
        </w:rPr>
        <w:t xml:space="preserve">CHAPTER 344. REVERSE MORTGAGE LOANS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344.001.</w:t>
      </w:r>
      <w:r>
        <w:rPr>
          <w:u w:val="single"/>
        </w:rPr>
        <w:t xml:space="preserve"> </w:t>
      </w:r>
      <w:r>
        <w:rPr>
          <w:u w:val="single"/>
        </w:rPr>
        <w:t xml:space="preserve"> </w:t>
      </w:r>
      <w:r>
        <w:rPr>
          <w:u w:val="single"/>
        </w:rPr>
        <w:t xml:space="preserve">FALSE, MISLEADING, OR DECEPTIVE ADVERTISING.  (a)  A residential mortgage loan originator may not, in any manner, advertise or cause to be advertised a false, misleading, or deceptive statement or representation made to induce a potential borrower into applying for or entering into a reverse mortgage loan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statement or representation is misleading or deceptive  under Subsection (a) if the statement or representation has the capacity or tendency to  mislead or deceive a potential borrower, considering: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overall impression that the statement or representation reasonably creates;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particular type of potential borrower to which the statement or representation is directed and whether the statement or representation may be reasonably comprehended by that potential borrower.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advertisement relating to a reverse mortgage made or caused to be made by a residential mortgage loan originator is considered false, misleading, or deceptive in violation of this section if the advertisement: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reverse mortgage is a government benefit;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reverse mortgage is not a loan;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represents or implies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advertisement itself is an official document of a governmental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borrower may stay in the home that is the subject of the reverse mortgage loan agreement without paying taxes, paying insurance premiums, or maintaining the home;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an image, symbol, or emblem that creates the impression that the advertisement is made on behalf of a governmental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a residential mortgage loan originator from accurately advertising that the residential mortgage loan originator is affiliated with the Federal Deposit Insurance Corporation or the National Credit Union Association or is an equal housing opportunity lender under the Fair Housing Act (42 U.S.C. Section 3601 et seq.), including by inclusion or use of an image, symbol, or emblem meant to advertise that affiliation or status.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violation of this section is a deceptive trade practice under Subchapter E, Chapter 17, Business &amp; Commerce Code, and is actionable under that subchapter, except that Section 17.565, Business &amp; Commerce Code, does not apply.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