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88R7509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2634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civics instruction in public school government curriculum requirements for high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adding Subsection (h-3) to read as follows:</w:t>
      </w:r>
    </w:p>
    <w:p w:rsidR="003F3435" w:rsidRDefault="0032493E">
      <w:pPr>
        <w:spacing w:line="480" w:lineRule="auto"/>
        <w:ind w:firstLine="720"/>
        <w:jc w:val="both"/>
      </w:pPr>
      <w:r>
        <w:rPr>
          <w:u w:val="single"/>
        </w:rPr>
        <w:t xml:space="preserve">(h-3)</w:t>
      </w:r>
      <w:r>
        <w:rPr>
          <w:u w:val="single"/>
        </w:rPr>
        <w:t xml:space="preserve"> </w:t>
      </w:r>
      <w:r>
        <w:rPr>
          <w:u w:val="single"/>
        </w:rPr>
        <w:t xml:space="preserve"> </w:t>
      </w:r>
      <w:r>
        <w:rPr>
          <w:u w:val="single"/>
        </w:rPr>
        <w:t xml:space="preserve">In adopting the essential knowledge and skills for the government component of the social studies curriculum for high school students, the State Board of Education shall adopt essential knowledge and skills to develop each student's civic knowledge,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role of governmental officials,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statewide elected officials;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county officials;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city councilors;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local governmental officials;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voting process and election laws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eligibility requirements to run for elected office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Robert's Rules of Order;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elected officials who represent the student at each level of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