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Thompson of Harris,</w:t>
      </w:r>
      <w:r xml:space="preserve">
        <w:tab wTab="150" tlc="none" cTlc="0"/>
      </w:r>
      <w:r>
        <w:t xml:space="preserve">H.B.</w:t>
      </w:r>
      <w:r xml:space="preserve">
        <w:t> </w:t>
      </w:r>
      <w:r>
        <w:t xml:space="preserve">No.</w:t>
      </w:r>
      <w:r xml:space="preserve">
        <w:t> </w:t>
      </w:r>
      <w:r>
        <w:t xml:space="preserve">2638</w:t>
      </w:r>
    </w:p>
    <w:p w:rsidR="003F3435" w:rsidRDefault="0032493E">
      <w:pPr>
        <w:jc w:val="both"/>
      </w:pPr>
      <w:r xml:space="preserve">
        <w:t> </w:t>
      </w:r>
      <w:r xml:space="preserve">
        <w:t> </w:t>
      </w:r>
      <w:r xml:space="preserve">
        <w:t> </w:t>
      </w:r>
      <w:r xml:space="preserve">
        <w:t> </w:t>
      </w:r>
      <w:r xml:space="preserve">
        <w:t> </w:t>
      </w:r>
      <w:r>
        <w:t xml:space="preserve">Lozano, Price, Rose,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multisystemic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(oo-1) to read as follows:</w:t>
      </w:r>
    </w:p>
    <w:p w:rsidR="003F3435" w:rsidRDefault="0032493E">
      <w:pPr>
        <w:spacing w:line="480" w:lineRule="auto"/>
        <w:ind w:firstLine="720"/>
        <w:jc w:val="both"/>
      </w:pPr>
      <w:r>
        <w:rPr>
          <w:u w:val="single"/>
        </w:rPr>
        <w:t xml:space="preserve">(oo-1)</w:t>
      </w:r>
      <w:r>
        <w:rPr>
          <w:u w:val="single"/>
        </w:rPr>
        <w:t xml:space="preserve"> </w:t>
      </w:r>
      <w:r>
        <w:rPr>
          <w:u w:val="single"/>
        </w:rPr>
        <w:t xml:space="preserve"> </w:t>
      </w:r>
      <w:r>
        <w:rPr>
          <w:u w:val="single"/>
        </w:rPr>
        <w:t xml:space="preserve">The commission shall ensure that medical assistance reimbursement is provided to a health care provider who provides services classified as multisystemic therapy by the Healthcare Common Procedure Coding System (HCPCS) code to a recipient under the medical assistance program.  The executive commissioner shall establish a separate provider type for multisystemic therapy providers for purposes of enrollment as a provider for and reimbursement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