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certain medical information by electronic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159.006, Occupations Code, is amended by amending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physician shall provide the information requested under this section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not later than the 15th business day after the date of receipt of the written consent for release under Subsection (a) or the written request under Subsection (c)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accordance with Section 159.0065(b), if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159, Occupations Code, is amended by adding Section 159.0065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159.0065.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SENSITIVE TEST RESULTS FURNISHED BY ELECTRONIC MEANS.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“Electronic means” means a posting on a secure electronic network or Internet website, including a secure online patient portal or health software application,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accessible by an electronic device, including a computer, mobile device, or tablet;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which the patient or patient representative has consented to receive the patient’s billing or medical records.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 “Patient representative” means a person listed in Subdivisions (1) through (4) of Section 159.005.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“Sensitive test results”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 pathology reports or radiology reports that have a reasonable likelihood of showing a finding of malignancy;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test results that could reveal genetic markers.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Sensitive test results may not be disclosed to a patient or patient representative by electronic means until at least three days after the sensitive test results are finalized.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is not subject to civil, criminal, or administrative liability or professional disciplinary action for failure to comply with Section 159.006(d)(2) or Subsection (b)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