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88R22695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2644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2644:</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2644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qualified employee for purposes of the enterprise zone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2303.003(7), Government Code, is amended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rPr>
          <w:u w:val="single"/>
        </w:rPr>
        <w:t xml:space="preserve">is a resident of this state;</w:t>
      </w:r>
    </w:p>
    <w:p w:rsidR="003F3435" w:rsidRDefault="0032493E">
      <w:pPr>
        <w:spacing w:line="480" w:lineRule="auto"/>
        <w:ind w:firstLine="2160"/>
        <w:jc w:val="both"/>
      </w:pPr>
      <w:r>
        <w:rPr>
          <w:u w:val="single"/>
        </w:rPr>
        <w:t xml:space="preserve">(B)</w:t>
      </w:r>
      <w:r xml:space="preserve">
        <w:t> </w:t>
      </w:r>
      <w:r xml:space="preserve">
        <w:t> </w:t>
      </w:r>
      <w:r>
        <w:t xml:space="preserve">works for a qualified business;</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performs at least 50 percent of the person's service for the business at the qualified business site, or if the person engages in [</w:t>
      </w:r>
      <w:r>
        <w:rPr>
          <w:strike/>
        </w:rPr>
        <w:t xml:space="preserve">the transportation of goods or</w:t>
      </w:r>
      <w:r>
        <w:t xml:space="preserve">] services </w:t>
      </w:r>
      <w:r>
        <w:rPr>
          <w:u w:val="single"/>
        </w:rPr>
        <w:t xml:space="preserve">off-site</w:t>
      </w:r>
      <w:r>
        <w:t xml:space="preserve">, the person </w:t>
      </w:r>
      <w:r>
        <w:rPr>
          <w:u w:val="single"/>
        </w:rPr>
        <w:t xml:space="preserve">is assigned</w:t>
      </w:r>
      <w:r>
        <w:t xml:space="preserve"> [</w:t>
      </w:r>
      <w:r>
        <w:rPr>
          <w:strike/>
        </w:rPr>
        <w:t xml:space="preserve">reports</w:t>
      </w:r>
      <w:r>
        <w:t xml:space="preserve">] to the qualified business site and resides within 50 miles of the qualified business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Section 2303.003, Government Code, as amended by this Act, applies to an application for an enterprise project designation under the enterprise zone program under Chapter 2303, Government Code, as amended by this Act, that is submitted on or after the effective date of this Act.  An application for an enterprise project designation under the enterprise zone program that is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2303.003(7)(D), Government Code, as added by this Act, applies to an enterprise project that is under audit or subject to audit by the comptroller of public accounts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