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88R25591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fines and court costs by an inmate during a term of imprisonment or following release from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the inmate's right under Article 42.153 to defer payment of certain fines and court costs owed to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Code of Criminal Procedure, is amended by adding Article 42.153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42.153.</w:t>
      </w:r>
      <w:r>
        <w:rPr>
          <w:u w:val="single"/>
        </w:rPr>
        <w:t xml:space="preserve"> </w:t>
      </w:r>
      <w:r>
        <w:rPr>
          <w:u w:val="single"/>
        </w:rPr>
        <w:t xml:space="preserve"> </w:t>
      </w:r>
      <w:r>
        <w:rPr>
          <w:u w:val="single"/>
        </w:rPr>
        <w:t xml:space="preserve">DEFERRED PAYMENT OF CERTAIN FINES AND COURT COSTS.  (a)  Notwithstanding any other law and except as provided by Subsection (c), a person sentenced to imprisonment in the Texas Department of Criminal Justice is not required to pay any fines or court costs owed to the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term of imprisonment, including while the person is confined in a county jail awaiting transfer to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181st day after the person's release: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following completion of the person's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parole or to mandatory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following the person's release as described by Subsection (a)(2), the person shall contact the clerk of the court in each jurisdiction where the person owes fines or court costs and enter into a payment plan with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amounts owed for restitution or to amounts owed for supervision fees assessed as a condition of release.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defendant who is sentenced for an offense on or after the effective date of this Act, regardless of whether the offense is committed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