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88R15860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Cortez, Lujan, Bernal,</w:t>
      </w:r>
      <w:r xml:space="preserve">
        <w:tab wTab="150" tlc="none" cTlc="0"/>
      </w:r>
      <w:r>
        <w:t xml:space="preserve">H.B.</w:t>
      </w:r>
      <w:r xml:space="preserve">
        <w:t> </w:t>
      </w:r>
      <w:r>
        <w:t xml:space="preserve">No.</w:t>
      </w:r>
      <w:r xml:space="preserve">
        <w:t> </w:t>
      </w:r>
      <w:r>
        <w:t xml:space="preserve">2649</w:t>
      </w:r>
    </w:p>
    <w:p w:rsidR="003F3435" w:rsidRDefault="0032493E">
      <w:pPr>
        <w:jc w:val="both"/>
      </w:pPr>
      <w:r xml:space="preserve">
        <w:t> </w:t>
      </w:r>
      <w:r xml:space="preserve">
        <w:t> </w:t>
      </w:r>
      <w:r xml:space="preserve">
        <w:t> </w:t>
      </w:r>
      <w:r xml:space="preserve">
        <w:t> </w:t>
      </w:r>
      <w:r xml:space="preserve">
        <w:t> </w:t>
      </w:r>
      <w:r>
        <w:t xml:space="preserve">Lopez of Bexar,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2649:</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2.01(a)(2)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w:t>
      </w:r>
      <w:r>
        <w:rPr>
          <w:u w:val="single"/>
        </w:rPr>
        <w:t xml:space="preserve">Subsection</w:t>
      </w:r>
      <w:r>
        <w:t xml:space="preserve"> [</w:t>
      </w:r>
      <w:r>
        <w:rPr>
          <w:strike/>
        </w:rPr>
        <w:t xml:space="preserve">Subsections</w:t>
      </w:r>
      <w:r>
        <w:t xml:space="preserve">]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adding Subsections (a-1) and (c)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of this section,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or was an accomplice in wilfully bringing about the death, must be made during a meeting of the board.  A determination by the board under this section is not controlled by any other finding in any other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