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88R8108 CJC/MEW-D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2656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an adjustment in the amount of the limitation on school district ad valorem taxes imposed on the residence homesteads of the elderly or disabled to reflect increases in the exemption amount,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$65,000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 Tax Code, is amended by amending Subsections (a), (a-10), and (o) and adding Subsection (a-11)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If the first tax year the individual qualified the residence homestead for the exemption provided by Section 11.13(c) for individuals 65 years of age or older or disabled was a tax year before the </w:t>
      </w:r>
      <w:r>
        <w:rPr>
          <w:u w:val="single"/>
        </w:rPr>
        <w:t xml:space="preserve">2024</w:t>
      </w:r>
      <w:r>
        <w:t xml:space="preserve"> [</w:t>
      </w:r>
      <w:r>
        <w:rPr>
          <w:strike/>
        </w:rPr>
        <w:t xml:space="preserve">2015</w:t>
      </w:r>
      <w:r>
        <w:t xml:space="preserve">] tax year, the amount of the limitation provided by this section </w:t>
      </w:r>
      <w:r>
        <w:rPr>
          <w:u w:val="single"/>
        </w:rPr>
        <w:t xml:space="preserve">for the 2024 tax year</w:t>
      </w:r>
      <w:r>
        <w:t xml:space="preserve"> is the amount of </w:t>
      </w:r>
      <w:r>
        <w:rPr>
          <w:u w:val="single"/>
        </w:rPr>
        <w:t xml:space="preserve">the limitation as computed under Subsection (a-10) of this section</w:t>
      </w:r>
      <w:r>
        <w:t xml:space="preserve"> [</w:t>
      </w:r>
      <w:r>
        <w:rPr>
          <w:strike/>
        </w:rPr>
        <w:t xml:space="preserve">tax the school district imposed for the 2014 tax year</w:t>
      </w:r>
      <w:r>
        <w:t xml:space="preserve">] less an amount equal to the </w:t>
      </w:r>
      <w:r>
        <w:rPr>
          <w:u w:val="single"/>
        </w:rPr>
        <w:t xml:space="preserve">product of $25,000 and</w:t>
      </w:r>
      <w:r>
        <w:t xml:space="preserve"> [</w:t>
      </w:r>
      <w:r>
        <w:rPr>
          <w:strike/>
        </w:rPr>
        <w:t xml:space="preserve">amount determined by multiplying $10,000 times</w:t>
      </w:r>
      <w:r>
        <w:t xml:space="preserve">] the tax rate of the school district for the </w:t>
      </w:r>
      <w:r>
        <w:rPr>
          <w:u w:val="single"/>
        </w:rPr>
        <w:t xml:space="preserve">2024</w:t>
      </w:r>
      <w:r>
        <w:t xml:space="preserve"> [</w:t>
      </w:r>
      <w:r>
        <w:rPr>
          <w:strike/>
        </w:rPr>
        <w:t xml:space="preserve">2015</w:t>
      </w:r>
      <w:r>
        <w:t xml:space="preserve">] tax year[</w:t>
      </w:r>
      <w:r>
        <w:rPr>
          <w:strike/>
        </w:rPr>
        <w:t xml:space="preserve">,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rPr>
          <w:u w:val="single"/>
        </w:rPr>
        <w:t xml:space="preserve">For purposes of this section, "maximum compressed rate" means the maximum compressed rate of a school district as calculated under Section 48.2551, Education Code.</w:t>
      </w:r>
      <w:r>
        <w:t xml:space="preserve">  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and</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2024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2024 tax year is the amount of the limitation for the 2024 tax year as otherwise computed under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2024-2025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2023, if any increase in the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2024-2025 school year is equal to the amount by which the loss of local interest and sinking revenue for debt service attributable to any increase in the residence homestead exemption under Section 1-b(c), Article VIII, Texas Constitution, and any additional limitation on tax increases under Section 1-b(d) of that article as proposed by the 88th Legislature, Regular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2024,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w:t>
      </w:r>
      <w:r>
        <w:rPr>
          <w:u w:val="single"/>
        </w:rPr>
        <w:t xml:space="preserve">11.26(a-10) and (a-11)</w:t>
      </w:r>
      <w:r>
        <w:t xml:space="preserve"> [</w:t>
      </w:r>
      <w:r>
        <w:rPr>
          <w:strike/>
        </w:rPr>
        <w:t xml:space="preserve">11.26(a-4), (a-5), (a-6), (a-7), (a-8), (a-9), and (a-10)</w:t>
      </w:r>
      <w:r>
        <w:t xml:space="preserve">], Tax Code,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w:t>
      </w:r>
      <w:r xml:space="preserve">
        <w:t> </w:t>
      </w:r>
      <w:r xml:space="preserve">
        <w:t> </w:t>
      </w:r>
      <w:r>
        <w:t xml:space="preserve">(a)</w:t>
      </w:r>
      <w:r xml:space="preserve">
        <w:t> </w:t>
      </w:r>
      <w:r xml:space="preserve">
        <w:t>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any increase in the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2023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Sections 11.26(a-10) and (a-11),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each tax year beginning with the </w:t>
      </w:r>
      <w:r>
        <w:rPr>
          <w:u w:val="single"/>
        </w:rPr>
        <w:t xml:space="preserve">2022</w:t>
      </w:r>
      <w:r>
        <w:t xml:space="preserve"> [</w:t>
      </w:r>
      <w:r>
        <w:rPr>
          <w:strike/>
        </w:rPr>
        <w:t xml:space="preserve">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 11.26(a-11), Tax Code.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11.26(a-1), (a-2), (a-3), (a-4), (a-5), (a-6), (a-7), (a-8), and (a-9), Tax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Sections 11.13 and 11.26, Tax Code, apply only to an ad valorem tax year that begins on or after January 1, 2024.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Except as otherwise provided by this Act, this Act takes effect January 1, 2024, but only if the constitutional amendment proposed by the 88th Legislature, Regular Session, 2023,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