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88R23090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Hull, Jones of Harris, et al.</w:t>
      </w:r>
      <w:r xml:space="preserve">
        <w:tab wTab="150" tlc="none" cTlc="0"/>
      </w:r>
      <w:r>
        <w:t xml:space="preserve">H.B.</w:t>
      </w:r>
      <w:r xml:space="preserve">
        <w:t> </w:t>
      </w:r>
      <w:r>
        <w:t xml:space="preserve">No.</w:t>
      </w:r>
      <w:r xml:space="preserve">
        <w:t> </w:t>
      </w:r>
      <w:r>
        <w:t xml:space="preserve">2660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a law enforcement agency regarding missing children and missing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Tim's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63.009(a),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law enforcement agency, on receiving a report of a missing child or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child and the child is at a high risk of harm or is otherwise in danger or 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child or person;</w:t>
      </w:r>
    </w:p>
    <w:p w:rsidR="003F3435" w:rsidRDefault="0032493E">
      <w:pPr>
        <w:spacing w:line="480" w:lineRule="auto"/>
        <w:ind w:firstLine="1440"/>
        <w:jc w:val="both"/>
      </w:pPr>
      <w:r>
        <w:t xml:space="preserve">(2)</w:t>
      </w:r>
      <w:r xml:space="preserve">
        <w:t> </w:t>
      </w:r>
      <w:r xml:space="preserve">
        <w:t> </w:t>
      </w:r>
      <w:r>
        <w:t xml:space="preserve">if the subject of the report is a child or person other than a child or person described by Subdivision (1), start an investigation with due diligence in order to determine the present location of the child or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child or person into the clearinghouse and the national crime information center missing person file if the child or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w:t>
      </w:r>
    </w:p>
    <w:p w:rsidR="003F3435" w:rsidRDefault="0032493E">
      <w:pPr>
        <w:spacing w:line="480" w:lineRule="auto"/>
        <w:ind w:firstLine="1440"/>
        <w:jc w:val="both"/>
      </w:pPr>
      <w:r>
        <w:t xml:space="preserve">(4)</w:t>
      </w:r>
      <w:r xml:space="preserve">
        <w:t> </w:t>
      </w:r>
      <w:r xml:space="preserve">
        <w:t> </w:t>
      </w:r>
      <w:r>
        <w:rPr>
          <w:u w:val="single"/>
        </w:rPr>
        <w:t xml:space="preserve">not later than 48 hours after receiving the report, electronically submit to each municipal or county law enforcement agency within 200 miles the report and any information that may help determine the present location of the child or person;</w:t>
      </w:r>
    </w:p>
    <w:p w:rsidR="003F3435" w:rsidRDefault="0032493E">
      <w:pPr>
        <w:spacing w:line="480" w:lineRule="auto"/>
        <w:ind w:firstLine="1440"/>
        <w:jc w:val="both"/>
      </w:pPr>
      <w:r>
        <w:rPr>
          <w:u w:val="single"/>
        </w:rPr>
        <w:t xml:space="preserve">(5)</w:t>
      </w:r>
      <w:r xml:space="preserve">
        <w:t> </w:t>
      </w:r>
      <w:r xml:space="preserve">
        <w:t> </w:t>
      </w:r>
      <w:r>
        <w:t xml:space="preserve">not later than the 60th day after the date the agency receives the report, enter the name of the child or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or missing person; and</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(5)</w:t>
      </w:r>
      <w:r>
        <w:t xml:space="preserve">]</w:t>
      </w:r>
      <w:r xml:space="preserve">
        <w:t> </w:t>
      </w:r>
      <w:r>
        <w:t xml:space="preserve">inform the person who filed the report of the missing child or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submitted to each municipal or county law enforcement agency within 200 miles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report of a missing child or missing person that is made to a law enforcement agency on or after the effective date of this Act. A report of a missing child or missing person that is made to a law enforcement agency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