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88R6139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2661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eliminating the requirement to use public school assessment instruments as indicators of achievement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28.0258(j), Education Code, is amended to read as follows:</w:t>
      </w:r>
    </w:p>
    <w:p w:rsidR="003F3435" w:rsidRDefault="0032493E">
      <w:pPr>
        <w:spacing w:line="480" w:lineRule="auto"/>
        <w:ind w:firstLine="720"/>
        <w:jc w:val="both"/>
      </w:pPr>
      <w:r>
        <w:t xml:space="preserve">(j)</w:t>
      </w:r>
      <w:r xml:space="preserve">
        <w:t> </w:t>
      </w:r>
      <w:r xml:space="preserve">
        <w:t> </w:t>
      </w:r>
      <w:r>
        <w:t xml:space="preserve">Notwithstanding any action taken by an individual graduation committee under this section, a school district shall administer an end-of-course assessment instrument to any student who fails to perform satisfactorily on an end-of-course assessment instrument as provided by Section 39.025(b). </w:t>
      </w:r>
      <w:r>
        <w:t xml:space="preserve"> </w:t>
      </w:r>
      <w:r>
        <w:t xml:space="preserve">[</w:t>
      </w:r>
      <w:r>
        <w:rPr>
          <w:strike/>
        </w:rPr>
        <w:t xml:space="preserve">For purposes of Section 39.053(c)(1), an assessment instrument administered as provided by this subsection is considered an assessment instrument required for graduation retaken by a student.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legislature recognizes that compliance with this subchapter is an imperative public necessity. </w:t>
      </w:r>
      <w:r>
        <w:t xml:space="preserve"> </w:t>
      </w:r>
      <w:r>
        <w:t xml:space="preserve">Therefore, in accordance with the policy of the state, the agency shall evaluate the effectiveness of programs under this subchapter based on the achievement indicators adopted under Section 39.053(c)[</w:t>
      </w:r>
      <w:r>
        <w:rPr>
          <w:strike/>
        </w:rPr>
        <w:t xml:space="preserve">, including the results of assessment instruments</w:t>
      </w:r>
      <w:r>
        <w:t xml:space="preserve">]. </w:t>
      </w:r>
      <w:r>
        <w:t xml:space="preserve"> </w:t>
      </w:r>
      <w:r>
        <w:t xml:space="preserve">The agency may combine evaluations under this section with federal accountability measures concerning emergent bilingual students.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29.190(a),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entitled to a subsidy under this section if:</w:t>
      </w:r>
    </w:p>
    <w:p w:rsidR="003F3435" w:rsidRDefault="0032493E">
      <w:pPr>
        <w:spacing w:line="480" w:lineRule="auto"/>
        <w:ind w:firstLine="1440"/>
        <w:jc w:val="both"/>
      </w:pPr>
      <w:r>
        <w:t xml:space="preserve">(1)</w:t>
      </w:r>
      <w:r xml:space="preserve">
        <w:t> </w:t>
      </w:r>
      <w:r xml:space="preserve">
        <w:t> </w:t>
      </w:r>
      <w:r>
        <w:t xml:space="preserve">the student:</w:t>
      </w:r>
    </w:p>
    <w:p w:rsidR="003F3435" w:rsidRDefault="0032493E">
      <w:pPr>
        <w:spacing w:line="480" w:lineRule="auto"/>
        <w:ind w:firstLine="2160"/>
        <w:jc w:val="both"/>
      </w:pPr>
      <w:r>
        <w:t xml:space="preserve">(A)</w:t>
      </w:r>
      <w:r xml:space="preserve">
        <w:t> </w:t>
      </w:r>
      <w:r xml:space="preserve">
        <w:t> </w:t>
      </w:r>
      <w:r>
        <w:t xml:space="preserve">successfully completes the career and technology program of a school district in which the student receives training and instruction for employment; or</w:t>
      </w:r>
    </w:p>
    <w:p w:rsidR="003F3435" w:rsidRDefault="0032493E">
      <w:pPr>
        <w:spacing w:line="480" w:lineRule="auto"/>
        <w:ind w:firstLine="2160"/>
        <w:jc w:val="both"/>
      </w:pPr>
      <w:r>
        <w:t xml:space="preserve">(B)</w:t>
      </w:r>
      <w:r xml:space="preserve">
        <w:t> </w:t>
      </w:r>
      <w:r xml:space="preserve">
        <w:t> </w:t>
      </w:r>
      <w:r>
        <w:t xml:space="preserve">is enrolled in a special education program under Subchapter A; and</w:t>
      </w:r>
    </w:p>
    <w:p w:rsidR="003F3435" w:rsidRDefault="0032493E">
      <w:pPr>
        <w:spacing w:line="480" w:lineRule="auto"/>
        <w:ind w:firstLine="1440"/>
        <w:jc w:val="both"/>
      </w:pPr>
      <w:r>
        <w:t xml:space="preserve">(2)</w:t>
      </w:r>
      <w:r xml:space="preserve">
        <w:t> </w:t>
      </w:r>
      <w:r xml:space="preserve">
        <w:t> </w:t>
      </w:r>
      <w:r>
        <w:t xml:space="preserve">the student passes a certification examination to qualify for a license or certificate that is an industry certification for purposes of Section </w:t>
      </w:r>
      <w:r>
        <w:rPr>
          <w:u w:val="single"/>
        </w:rPr>
        <w:t xml:space="preserve">39.053(c)(1)(C)</w:t>
      </w:r>
      <w:r>
        <w:t xml:space="preserve"> [</w:t>
      </w:r>
      <w:r>
        <w:rPr>
          <w:strike/>
        </w:rPr>
        <w:t xml:space="preserve">39.053(c)(1)(B)(v)</w:t>
      </w:r>
      <w:r>
        <w:t xml:space="preserve">], administered while the student is enrolled in a school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39.033(b),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agreement under this section must require the private school to:</w:t>
      </w:r>
    </w:p>
    <w:p w:rsidR="003F3435" w:rsidRDefault="0032493E">
      <w:pPr>
        <w:spacing w:line="480" w:lineRule="auto"/>
        <w:ind w:firstLine="1440"/>
        <w:jc w:val="both"/>
      </w:pPr>
      <w:r>
        <w:t xml:space="preserve">(1)</w:t>
      </w:r>
      <w:r xml:space="preserve">
        <w:t> </w:t>
      </w:r>
      <w:r xml:space="preserve">
        <w:t> </w:t>
      </w:r>
      <w:r>
        <w:t xml:space="preserve">as determined appropriate by the commissioner, provide to the commissioner the information described by </w:t>
      </w:r>
      <w:r>
        <w:rPr>
          <w:u w:val="single"/>
        </w:rPr>
        <w:t xml:space="preserve">Section</w:t>
      </w:r>
      <w:r>
        <w:t xml:space="preserve"> </w:t>
      </w:r>
      <w:r>
        <w:t xml:space="preserve">[</w:t>
      </w:r>
      <w:r>
        <w:rPr>
          <w:strike/>
        </w:rPr>
        <w:t xml:space="preserve">Sections 39.053(c) and</w:t>
      </w:r>
      <w:r>
        <w:t xml:space="preserve">] 39.301(c); and</w:t>
      </w:r>
    </w:p>
    <w:p w:rsidR="003F3435" w:rsidRDefault="0032493E">
      <w:pPr>
        <w:spacing w:line="480" w:lineRule="auto"/>
        <w:ind w:firstLine="1440"/>
        <w:jc w:val="both"/>
      </w:pPr>
      <w:r>
        <w:t xml:space="preserve">(2)</w:t>
      </w:r>
      <w:r xml:space="preserve">
        <w:t> </w:t>
      </w:r>
      <w:r xml:space="preserve">
        <w:t> </w:t>
      </w:r>
      <w:r>
        <w:t xml:space="preserve">maintain confidentiality in compliance with Section 39.030.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39.053(c), (g), (g-1), (g-2), (g-3), and (g-4), Education Code, are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for evaluating the performance of districts and campuses generally:</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for</w:t>
      </w:r>
      <w:r>
        <w:t xml:space="preserve">] evaluating the performance of high school campuses and districts that include high school campuses, indicators that account for:</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w:t>
      </w:r>
      <w:r xml:space="preserve">
        <w:rPr>
          <w:strike/>
        </w:rPr>
        <w:t> </w:t>
      </w:r>
      <w:r xml:space="preserve">
        <w:rPr>
          <w:strike/>
        </w:rPr>
        <w:t> </w:t>
      </w:r>
      <w:r>
        <w:rPr>
          <w:strike/>
        </w:rP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students who satisfy relevant performance standards on advanced placement tests or similar assessments;</w:t>
      </w:r>
      <w:r>
        <w:t xml:space="preserve">]</w:t>
      </w:r>
    </w:p>
    <w:p w:rsidR="003F3435" w:rsidRDefault="0032493E">
      <w:pPr>
        <w:spacing w:line="480" w:lineRule="auto"/>
        <w:ind w:firstLine="2880"/>
        <w:jc w:val="both"/>
      </w:pPr>
      <w:r>
        <w:t xml:space="preserve">[</w:t>
      </w:r>
      <w:r>
        <w:rPr>
          <w:strike/>
        </w:rPr>
        <w:t xml:space="preserve">(iii)</w:t>
      </w:r>
      <w:r>
        <w:t xml:space="preserve">]</w:t>
      </w:r>
      <w:r xml:space="preserve">
        <w:t> </w:t>
      </w:r>
      <w:r xml:space="preserve">
        <w:t> </w:t>
      </w:r>
      <w:r>
        <w:t xml:space="preserve">students who earn dual course credits in the dual credit courses;</w:t>
      </w:r>
    </w:p>
    <w:p w:rsidR="003F3435" w:rsidRDefault="0032493E">
      <w:pPr>
        <w:spacing w:line="480" w:lineRule="auto"/>
        <w:ind w:firstLine="2160"/>
        <w:jc w:val="both"/>
      </w:pPr>
      <w:r>
        <w:rPr>
          <w:u w:val="single"/>
        </w:rPr>
        <w:t xml:space="preserve">(B)</w:t>
      </w:r>
      <w:r xml:space="preserve">
        <w:t> </w:t>
      </w:r>
      <w:r>
        <w:t xml:space="preserve">[</w:t>
      </w:r>
      <w:r>
        <w:rPr>
          <w:strike/>
        </w:rPr>
        <w:t xml:space="preserve">(iv)</w:t>
      </w:r>
      <w:r>
        <w:t xml:space="preserve">]</w:t>
      </w:r>
      <w:r xml:space="preserve">
        <w:t> </w:t>
      </w:r>
      <w:r xml:space="preserve">
        <w:t> </w:t>
      </w:r>
      <w:r>
        <w:t xml:space="preserve">students who enlist in the armed forces of the United States or the Texas National Guard;</w:t>
      </w:r>
    </w:p>
    <w:p w:rsidR="003F3435" w:rsidRDefault="0032493E">
      <w:pPr>
        <w:spacing w:line="480" w:lineRule="auto"/>
        <w:ind w:firstLine="2160"/>
        <w:jc w:val="both"/>
      </w:pPr>
      <w:r>
        <w:rPr>
          <w:u w:val="single"/>
        </w:rPr>
        <w:t xml:space="preserve">(C)</w:t>
      </w:r>
      <w:r xml:space="preserve">
        <w:t> </w:t>
      </w:r>
      <w:r>
        <w:t xml:space="preserve">[</w:t>
      </w:r>
      <w:r>
        <w:rPr>
          <w:strike/>
        </w:rPr>
        <w:t xml:space="preserve">(v)</w:t>
      </w:r>
      <w:r>
        <w:t xml:space="preserve">]</w:t>
      </w:r>
      <w:r xml:space="preserve">
        <w:t> </w:t>
      </w:r>
      <w:r xml:space="preserve">
        <w:t> </w:t>
      </w:r>
      <w:r>
        <w:t xml:space="preserve">students who earn industry certifications;</w:t>
      </w:r>
    </w:p>
    <w:p w:rsidR="003F3435" w:rsidRDefault="0032493E">
      <w:pPr>
        <w:spacing w:line="480" w:lineRule="auto"/>
        <w:ind w:firstLine="2160"/>
        <w:jc w:val="both"/>
      </w:pPr>
      <w:r>
        <w:rPr>
          <w:u w:val="single"/>
        </w:rPr>
        <w:t xml:space="preserve">(D)</w:t>
      </w:r>
      <w:r xml:space="preserve">
        <w:t> </w:t>
      </w:r>
      <w:r>
        <w:t xml:space="preserve">[</w:t>
      </w:r>
      <w:r>
        <w:rPr>
          <w:strike/>
        </w:rPr>
        <w:t xml:space="preserve">(vi)</w:t>
      </w:r>
      <w:r>
        <w:t xml:space="preserve">]</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160"/>
        <w:jc w:val="both"/>
      </w:pPr>
      <w:r>
        <w:rPr>
          <w:u w:val="single"/>
        </w:rPr>
        <w:t xml:space="preserve">(E)</w:t>
      </w:r>
      <w:r xml:space="preserve">
        <w:t> </w:t>
      </w:r>
      <w:r>
        <w:t xml:space="preserve">[</w:t>
      </w:r>
      <w:r>
        <w:rPr>
          <w:strike/>
        </w:rPr>
        <w:t xml:space="preserve">(vii)</w:t>
      </w:r>
      <w:r>
        <w:t xml:space="preserve">]</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160"/>
        <w:jc w:val="both"/>
      </w:pPr>
      <w:r>
        <w:rPr>
          <w:u w:val="single"/>
        </w:rPr>
        <w:t xml:space="preserve">(F)</w:t>
      </w:r>
      <w:r xml:space="preserve">
        <w:t> </w:t>
      </w:r>
      <w:r>
        <w:t xml:space="preserve">[</w:t>
      </w:r>
      <w:r>
        <w:rPr>
          <w:strike/>
        </w:rPr>
        <w:t xml:space="preserve">(viii)</w:t>
      </w:r>
      <w:r>
        <w:t xml:space="preserve">]</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160"/>
        <w:jc w:val="both"/>
      </w:pPr>
      <w:r>
        <w:rPr>
          <w:u w:val="single"/>
        </w:rPr>
        <w:t xml:space="preserve">(G)</w:t>
      </w:r>
      <w:r xml:space="preserve">
        <w:t> </w:t>
      </w:r>
      <w:r>
        <w:t xml:space="preserve">[</w:t>
      </w:r>
      <w:r>
        <w:rPr>
          <w:strike/>
        </w:rPr>
        <w:t xml:space="preserve">(ix)</w:t>
      </w:r>
      <w:r>
        <w:t xml:space="preserve">]</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160"/>
        <w:jc w:val="both"/>
      </w:pPr>
      <w:r>
        <w:rPr>
          <w:u w:val="single"/>
        </w:rPr>
        <w:t xml:space="preserve">(H)</w:t>
      </w:r>
      <w:r xml:space="preserve">
        <w:t> </w:t>
      </w:r>
      <w:r>
        <w:t xml:space="preserve">[</w:t>
      </w:r>
      <w:r>
        <w:rPr>
          <w:strike/>
        </w:rPr>
        <w:t xml:space="preserve">(x)</w:t>
      </w:r>
      <w:r>
        <w:t xml:space="preserve">]</w:t>
      </w:r>
      <w:r xml:space="preserve">
        <w:t> </w:t>
      </w:r>
      <w:r xml:space="preserve">
        <w:t> </w:t>
      </w:r>
      <w:r>
        <w:t xml:space="preserve">students who successfully completed an OnRamps dual enrollment course;</w:t>
      </w:r>
    </w:p>
    <w:p w:rsidR="003F3435" w:rsidRDefault="0032493E">
      <w:pPr>
        <w:spacing w:line="480" w:lineRule="auto"/>
        <w:ind w:firstLine="2160"/>
        <w:jc w:val="both"/>
      </w:pPr>
      <w:r>
        <w:rPr>
          <w:u w:val="single"/>
        </w:rPr>
        <w:t xml:space="preserve">(I)</w:t>
      </w:r>
      <w:r xml:space="preserve">
        <w:t> </w:t>
      </w:r>
      <w:r>
        <w:t xml:space="preserve">[</w:t>
      </w:r>
      <w:r>
        <w:rPr>
          <w:strike/>
        </w:rPr>
        <w:t xml:space="preserve">(xi)</w:t>
      </w:r>
      <w:r>
        <w:t xml:space="preserve">]</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160"/>
        <w:jc w:val="both"/>
      </w:pPr>
      <w:r>
        <w:rPr>
          <w:u w:val="single"/>
        </w:rPr>
        <w:t xml:space="preserve">(J)</w:t>
      </w:r>
      <w:r xml:space="preserve">
        <w:t> </w:t>
      </w:r>
      <w:r>
        <w:t xml:space="preserve">[</w:t>
      </w:r>
      <w:r>
        <w:rPr>
          <w:strike/>
        </w:rPr>
        <w:t xml:space="preserve">(xii)</w:t>
      </w:r>
      <w:r>
        <w:t xml:space="preserve">]</w:t>
      </w:r>
      <w:r xml:space="preserve">
        <w:t> </w:t>
      </w:r>
      <w:r xml:space="preserve">
        <w:t> </w:t>
      </w:r>
      <w:r>
        <w:t xml:space="preserve">students who are awarded an associate degree; and</w:t>
      </w:r>
    </w:p>
    <w:p w:rsidR="003F3435" w:rsidRDefault="0032493E">
      <w:pPr>
        <w:spacing w:line="480" w:lineRule="auto"/>
        <w:ind w:firstLine="2160"/>
        <w:jc w:val="both"/>
      </w:pPr>
      <w:r>
        <w:rPr>
          <w:u w:val="single"/>
        </w:rPr>
        <w:t xml:space="preserve">(K)</w:t>
      </w:r>
      <w:r xml:space="preserve">
        <w:t> </w:t>
      </w:r>
      <w:r>
        <w:t xml:space="preserve">[</w:t>
      </w:r>
      <w:r>
        <w:rPr>
          <w:strike/>
        </w:rPr>
        <w:t xml:space="preserve">(xiii)</w:t>
      </w:r>
      <w:r>
        <w:t xml:space="preserve">]</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for</w:t>
      </w:r>
      <w:r>
        <w:t xml:space="preserve">] evaluating relative performance,  </w:t>
      </w:r>
      <w:r>
        <w:rPr>
          <w:u w:val="single"/>
        </w:rPr>
        <w:t xml:space="preserve">by comparing</w:t>
      </w:r>
      <w:r>
        <w:t xml:space="preserve"> the performance of districts and campuses [</w:t>
      </w:r>
      <w:r>
        <w:rPr>
          <w:strike/>
        </w:rPr>
        <w:t xml:space="preserve">compared</w:t>
      </w:r>
      <w:r>
        <w:t xml:space="preserve">]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(g)</w:t>
      </w:r>
      <w:r xml:space="preserve">
        <w:t> </w:t>
      </w:r>
      <w:r xml:space="preserve">
        <w:t> </w:t>
      </w:r>
      <w:r>
        <w:t xml:space="preserve">In computing dropout and completion rates such as high school graduation rates under Subsection </w:t>
      </w:r>
      <w:r>
        <w:rPr>
          <w:u w:val="single"/>
        </w:rPr>
        <w:t xml:space="preserve">(c)(1)(G)</w:t>
      </w:r>
      <w:r>
        <w:t xml:space="preserve"> [</w:t>
      </w:r>
      <w:r>
        <w:rPr>
          <w:strike/>
        </w:rPr>
        <w:t xml:space="preserve">(c)(1)(B)(ix)</w:t>
      </w:r>
      <w:r>
        <w:t xml:space="preserve">], the commissioner may not consider as a dropout a student whose failure to attend school results from:</w:t>
      </w:r>
    </w:p>
    <w:p w:rsidR="003F3435" w:rsidRDefault="0032493E">
      <w:pPr>
        <w:spacing w:line="480" w:lineRule="auto"/>
        <w:ind w:firstLine="1440"/>
        <w:jc w:val="both"/>
      </w:pPr>
      <w:r>
        <w:t xml:space="preserve">(1)</w:t>
      </w:r>
      <w:r xml:space="preserve">
        <w:t> </w:t>
      </w:r>
      <w:r xml:space="preserve">
        <w:t> </w:t>
      </w:r>
      <w:r>
        <w:t xml:space="preserve">the student's expulsion under Section 37.007; and</w:t>
      </w:r>
    </w:p>
    <w:p w:rsidR="003F3435" w:rsidRDefault="0032493E">
      <w:pPr>
        <w:spacing w:line="480" w:lineRule="auto"/>
        <w:ind w:firstLine="1440"/>
        <w:jc w:val="both"/>
      </w:pPr>
      <w:r>
        <w:t xml:space="preserve">(2)</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adjudication as having engaged in delinquent conduct or conduct indicating a need for supervision, as defined by Section 51.03, Family Code; or</w:t>
      </w:r>
    </w:p>
    <w:p w:rsidR="003F3435" w:rsidRDefault="0032493E">
      <w:pPr>
        <w:spacing w:line="480" w:lineRule="auto"/>
        <w:ind w:firstLine="2160"/>
        <w:jc w:val="both"/>
      </w:pPr>
      <w:r>
        <w:t xml:space="preserve">(B)</w:t>
      </w:r>
      <w:r xml:space="preserve">
        <w:t> </w:t>
      </w:r>
      <w:r xml:space="preserve">
        <w:t> </w:t>
      </w:r>
      <w:r>
        <w:t xml:space="preserve">conviction of and sentencing for an offense under the Penal Code.</w:t>
      </w:r>
    </w:p>
    <w:p w:rsidR="003F3435" w:rsidRDefault="0032493E">
      <w:pPr>
        <w:spacing w:line="480" w:lineRule="auto"/>
        <w:ind w:firstLine="720"/>
        <w:jc w:val="both"/>
      </w:pPr>
      <w:r>
        <w:t xml:space="preserve">(g-1)</w:t>
      </w:r>
      <w:r xml:space="preserve">
        <w:t> </w:t>
      </w:r>
      <w:r xml:space="preserve">
        <w:t> </w:t>
      </w:r>
      <w:r>
        <w:t xml:space="preserve">In computing dropout and completion rates such as high school graduation rates under Subsection </w:t>
      </w:r>
      <w:r>
        <w:rPr>
          <w:u w:val="single"/>
        </w:rPr>
        <w:t xml:space="preserve">(c)(1)(G)</w:t>
      </w:r>
      <w:r>
        <w:t xml:space="preserve"> </w:t>
      </w:r>
      <w:r>
        <w:t xml:space="preserve">[</w:t>
      </w:r>
      <w:r>
        <w:rPr>
          <w:strike/>
        </w:rPr>
        <w:t xml:space="preserve">(c)(1)(B)(ix)</w:t>
      </w:r>
      <w:r>
        <w:t xml:space="preserve">], the commissioner shall exclude:</w:t>
      </w:r>
    </w:p>
    <w:p w:rsidR="003F3435" w:rsidRDefault="0032493E">
      <w:pPr>
        <w:spacing w:line="480" w:lineRule="auto"/>
        <w:ind w:firstLine="1440"/>
        <w:jc w:val="both"/>
      </w:pPr>
      <w:r>
        <w:t xml:space="preserve">(1)</w:t>
      </w:r>
      <w:r xml:space="preserve">
        <w:t> </w:t>
      </w:r>
      <w:r xml:space="preserve">
        <w:t> </w:t>
      </w:r>
      <w:r>
        <w:t xml:space="preserve">students who are ordered by a court to attend a high school equivalency certificate program but who have not yet earned a high school equivalency certificate;</w:t>
      </w:r>
    </w:p>
    <w:p w:rsidR="003F3435" w:rsidRDefault="0032493E">
      <w:pPr>
        <w:spacing w:line="480" w:lineRule="auto"/>
        <w:ind w:firstLine="1440"/>
        <w:jc w:val="both"/>
      </w:pPr>
      <w:r>
        <w:t xml:space="preserve">(2)</w:t>
      </w:r>
      <w:r xml:space="preserve">
        <w:t> </w:t>
      </w:r>
      <w:r xml:space="preserve">
        <w:t> </w:t>
      </w:r>
      <w:r>
        <w:t xml:space="preserve">students who were previously reported to the state as dropouts, including a student who is reported as a dropout, reenrolls, and drops out again, regardless of the number of times of reenrollment and dropping out;</w:t>
      </w:r>
    </w:p>
    <w:p w:rsidR="003F3435" w:rsidRDefault="0032493E">
      <w:pPr>
        <w:spacing w:line="480" w:lineRule="auto"/>
        <w:ind w:firstLine="1440"/>
        <w:jc w:val="both"/>
      </w:pPr>
      <w:r>
        <w:t xml:space="preserve">(3)</w:t>
      </w:r>
      <w:r xml:space="preserve">
        <w:t> </w:t>
      </w:r>
      <w:r xml:space="preserve">
        <w:t> </w:t>
      </w:r>
      <w:r>
        <w:t xml:space="preserve">students in attendance who are not in membership for purposes of average daily attendance;</w:t>
      </w:r>
    </w:p>
    <w:p w:rsidR="003F3435" w:rsidRDefault="0032493E">
      <w:pPr>
        <w:spacing w:line="480" w:lineRule="auto"/>
        <w:ind w:firstLine="1440"/>
        <w:jc w:val="both"/>
      </w:pPr>
      <w:r>
        <w:t xml:space="preserve">(4)</w:t>
      </w:r>
      <w:r xml:space="preserve">
        <w:t> </w:t>
      </w:r>
      <w:r xml:space="preserve">
        <w:t> </w:t>
      </w:r>
      <w:r>
        <w:t xml:space="preserve">students whose initial enrollment in a school in the United States in grades 7 through 12 was as an unschooled asylee or refugee as defined by Section 39.027(a-1);</w:t>
      </w:r>
    </w:p>
    <w:p w:rsidR="003F3435" w:rsidRDefault="0032493E">
      <w:pPr>
        <w:spacing w:line="480" w:lineRule="auto"/>
        <w:ind w:firstLine="1440"/>
        <w:jc w:val="both"/>
      </w:pPr>
      <w:r>
        <w:t xml:space="preserve">(5)</w:t>
      </w:r>
      <w:r xml:space="preserve">
        <w:t> </w:t>
      </w:r>
      <w:r xml:space="preserve">
        <w:t> </w:t>
      </w:r>
      <w:r>
        <w:t xml:space="preserve">students who are detained at a county pre-adjudication or post-adjudication juvenile detention facility and:</w:t>
      </w:r>
    </w:p>
    <w:p w:rsidR="003F3435" w:rsidRDefault="0032493E">
      <w:pPr>
        <w:spacing w:line="480" w:lineRule="auto"/>
        <w:ind w:firstLine="2160"/>
        <w:jc w:val="both"/>
      </w:pPr>
      <w:r>
        <w:t xml:space="preserve">(A)</w:t>
      </w:r>
      <w:r xml:space="preserve">
        <w:t> </w:t>
      </w:r>
      <w:r xml:space="preserve">
        <w:t> </w:t>
      </w:r>
      <w:r>
        <w:t xml:space="preserve">in the district exclusively as a function of having been detained at the facility but are otherwise not students of the district in which the facility is located; or</w:t>
      </w:r>
    </w:p>
    <w:p w:rsidR="003F3435" w:rsidRDefault="0032493E">
      <w:pPr>
        <w:spacing w:line="480" w:lineRule="auto"/>
        <w:ind w:firstLine="2160"/>
        <w:jc w:val="both"/>
      </w:pPr>
      <w:r>
        <w:t xml:space="preserve">(B)</w:t>
      </w:r>
      <w:r xml:space="preserve">
        <w:t> </w:t>
      </w:r>
      <w:r xml:space="preserve">
        <w:t> </w:t>
      </w:r>
      <w:r>
        <w:t xml:space="preserve">provided services by an open-enrollment charter school exclusively as the result of having been detained at the facility;</w:t>
      </w:r>
    </w:p>
    <w:p w:rsidR="003F3435" w:rsidRDefault="0032493E">
      <w:pPr>
        <w:spacing w:line="480" w:lineRule="auto"/>
        <w:ind w:firstLine="1440"/>
        <w:jc w:val="both"/>
      </w:pPr>
      <w:r>
        <w:t xml:space="preserve">(6)</w:t>
      </w:r>
      <w:r xml:space="preserve">
        <w:t> </w:t>
      </w:r>
      <w:r xml:space="preserve">
        <w:t> </w:t>
      </w:r>
      <w:r>
        <w:t xml:space="preserve">students who are incarcerated in state jails and federal penitentiaries as adults and as persons certified to stand trial as adults; and</w:t>
      </w:r>
    </w:p>
    <w:p w:rsidR="003F3435" w:rsidRDefault="0032493E">
      <w:pPr>
        <w:spacing w:line="480" w:lineRule="auto"/>
        <w:ind w:firstLine="1440"/>
        <w:jc w:val="both"/>
      </w:pPr>
      <w:r>
        <w:t xml:space="preserve">(7)</w:t>
      </w:r>
      <w:r xml:space="preserve">
        <w:t> </w:t>
      </w:r>
      <w:r xml:space="preserve">
        <w:t> </w:t>
      </w:r>
      <w:r>
        <w:t xml:space="preserve">students who have suffered a condition, injury, or illness that requires substantial medical care and leaves the student:</w:t>
      </w:r>
    </w:p>
    <w:p w:rsidR="003F3435" w:rsidRDefault="0032493E">
      <w:pPr>
        <w:spacing w:line="480" w:lineRule="auto"/>
        <w:ind w:firstLine="2160"/>
        <w:jc w:val="both"/>
      </w:pPr>
      <w:r>
        <w:t xml:space="preserve">(A)</w:t>
      </w:r>
      <w:r xml:space="preserve">
        <w:t> </w:t>
      </w:r>
      <w:r xml:space="preserve">
        <w:t> </w:t>
      </w:r>
      <w:r>
        <w:t xml:space="preserve">unable to attend school; and</w:t>
      </w:r>
    </w:p>
    <w:p w:rsidR="003F3435" w:rsidRDefault="0032493E">
      <w:pPr>
        <w:spacing w:line="480" w:lineRule="auto"/>
        <w:ind w:firstLine="2160"/>
        <w:jc w:val="both"/>
      </w:pPr>
      <w:r>
        <w:t xml:space="preserve">(B)</w:t>
      </w:r>
      <w:r xml:space="preserve">
        <w:t> </w:t>
      </w:r>
      <w:r xml:space="preserve">
        <w:t> </w:t>
      </w:r>
      <w:r>
        <w:t xml:space="preserve">assigned to a medical or residential treatment facility.</w:t>
      </w:r>
    </w:p>
    <w:p w:rsidR="003F3435" w:rsidRDefault="0032493E">
      <w:pPr>
        <w:spacing w:line="480" w:lineRule="auto"/>
        <w:ind w:firstLine="720"/>
        <w:jc w:val="both"/>
      </w:pPr>
      <w:r>
        <w:t xml:space="preserve">(g-2)</w:t>
      </w:r>
      <w:r xml:space="preserve">
        <w:t> </w:t>
      </w:r>
      <w:r xml:space="preserve">
        <w:t> </w:t>
      </w:r>
      <w:r>
        <w:t xml:space="preserve">In computing completion rates such as high school graduation rates under Subsection </w:t>
      </w:r>
      <w:r>
        <w:rPr>
          <w:u w:val="single"/>
        </w:rPr>
        <w:t xml:space="preserve">(c)(1)(G)</w:t>
      </w:r>
      <w:r>
        <w:t xml:space="preserve"> [</w:t>
      </w:r>
      <w:r>
        <w:rPr>
          <w:strike/>
        </w:rPr>
        <w:t xml:space="preserve">(c)(1)(B)(ix)</w:t>
      </w:r>
      <w:r>
        <w:t xml:space="preserve">], the commissioner shall exclude students who:</w:t>
      </w:r>
    </w:p>
    <w:p w:rsidR="003F3435" w:rsidRDefault="0032493E">
      <w:pPr>
        <w:spacing w:line="480" w:lineRule="auto"/>
        <w:ind w:firstLine="1440"/>
        <w:jc w:val="both"/>
      </w:pPr>
      <w:r>
        <w:t xml:space="preserve">(1)</w:t>
      </w:r>
      <w:r xml:space="preserve">
        <w:t> </w:t>
      </w:r>
      <w:r xml:space="preserve">
        <w:t> </w:t>
      </w:r>
      <w:r>
        <w:t xml:space="preserve">are at least 18 years of age as of September 1 of the school year as reported for the fall semester Public Education Information Management System (PEIMS) submission and have satisfied the credit requirements for high school graduation;</w:t>
      </w:r>
    </w:p>
    <w:p w:rsidR="003F3435" w:rsidRDefault="0032493E">
      <w:pPr>
        <w:spacing w:line="480" w:lineRule="auto"/>
        <w:ind w:firstLine="1440"/>
        <w:jc w:val="both"/>
      </w:pPr>
      <w:r>
        <w:t xml:space="preserve">(2)</w:t>
      </w:r>
      <w:r xml:space="preserve">
        <w:t> </w:t>
      </w:r>
      <w:r xml:space="preserve">
        <w:t> </w:t>
      </w:r>
      <w:r>
        <w:t xml:space="preserve">have not completed their individualized education program under 19 T.A.C. Section 89.1070(b)(2) and the Individuals with Disabilities Education Act (20 U.S.C. Section 1400 et seq.); and</w:t>
      </w:r>
    </w:p>
    <w:p w:rsidR="003F3435" w:rsidRDefault="0032493E">
      <w:pPr>
        <w:spacing w:line="480" w:lineRule="auto"/>
        <w:ind w:firstLine="1440"/>
        <w:jc w:val="both"/>
      </w:pPr>
      <w:r>
        <w:t xml:space="preserve">(3)</w:t>
      </w:r>
      <w:r xml:space="preserve">
        <w:t> </w:t>
      </w:r>
      <w:r xml:space="preserve">
        <w:t> </w:t>
      </w:r>
      <w:r>
        <w:t xml:space="preserve">are enrolled and receiving individualized education program services.</w:t>
      </w:r>
    </w:p>
    <w:p w:rsidR="003F3435" w:rsidRDefault="0032493E">
      <w:pPr>
        <w:spacing w:line="480" w:lineRule="auto"/>
        <w:ind w:firstLine="720"/>
        <w:jc w:val="both"/>
      </w:pPr>
      <w:r>
        <w:t xml:space="preserve">(g-3)</w:t>
      </w:r>
      <w:r xml:space="preserve">
        <w:t> </w:t>
      </w:r>
      <w:r xml:space="preserve">
        <w:t> </w:t>
      </w:r>
      <w:r>
        <w:t xml:space="preserve">In the computation of dropout and completion rates such as high school graduation rates under Subsection </w:t>
      </w:r>
      <w:r>
        <w:rPr>
          <w:u w:val="single"/>
        </w:rPr>
        <w:t xml:space="preserve">(c)(1)(G)</w:t>
      </w:r>
      <w:r>
        <w:t xml:space="preserve"> </w:t>
      </w:r>
      <w:r>
        <w:t xml:space="preserve">[</w:t>
      </w:r>
      <w:r>
        <w:rPr>
          <w:strike/>
        </w:rPr>
        <w:t xml:space="preserve">(c)(1)(B)(ix)</w:t>
      </w:r>
      <w:r>
        <w:t xml:space="preserve">], a student who is released from a juvenile pre-adjudication secure detention facility or juvenile post-adjudication secure correctional facility and fails to enroll in school or a student who leaves a residential treatment center after receiving treatment for fewer than 85 days and fails to enroll in school may not be considered to have dropped out from the school district or campus serving the facility or center unless that district or campus is the one to which the student is regularly assigned. </w:t>
      </w:r>
      <w:r>
        <w:t xml:space="preserve"> </w:t>
      </w:r>
      <w:r>
        <w:t xml:space="preserve">The agency may not limit an appeal relating to dropout computations under this subsection.</w:t>
      </w:r>
    </w:p>
    <w:p w:rsidR="003F3435" w:rsidRDefault="0032493E">
      <w:pPr>
        <w:spacing w:line="480" w:lineRule="auto"/>
        <w:ind w:firstLine="720"/>
        <w:jc w:val="both"/>
      </w:pPr>
      <w:r>
        <w:t xml:space="preserve">(g-4)</w:t>
      </w:r>
      <w:r xml:space="preserve">
        <w:t> </w:t>
      </w:r>
      <w:r xml:space="preserve">
        <w:t> </w:t>
      </w:r>
      <w:r>
        <w:t xml:space="preserve">For purposes of the computation of dropout and completion rates such as high school graduation rates under Subsection </w:t>
      </w:r>
      <w:r>
        <w:rPr>
          <w:u w:val="single"/>
        </w:rPr>
        <w:t xml:space="preserve">(c)(1)(G)</w:t>
      </w:r>
      <w:r>
        <w:t xml:space="preserve"> [</w:t>
      </w:r>
      <w:r>
        <w:rPr>
          <w:strike/>
        </w:rPr>
        <w:t xml:space="preserve">(c)(1)(B)(ix)</w:t>
      </w:r>
      <w:r>
        <w:t xml:space="preserve">], the commissioner shall exclude a student who was reported as having dropped out of school under Section 48.009(b-4), and the student may not be considered to have dropped out from the school district or campus in which the student was last enrolled.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39.0548(b)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Section </w:t>
      </w:r>
      <w:r>
        <w:rPr>
          <w:u w:val="single"/>
        </w:rPr>
        <w:t xml:space="preserve">39.053(c)(1)(G)</w:t>
      </w:r>
      <w:r>
        <w:t xml:space="preserve"> [</w:t>
      </w:r>
      <w:r>
        <w:rPr>
          <w:strike/>
        </w:rPr>
        <w:t xml:space="preserve">39.053(c)(1)(B)(ix)</w:t>
      </w:r>
      <w:r>
        <w:t xml:space="preserve">], the commissioner shall use the alternative completion rate under this subsection to determine the graduation rate indicator under Section </w:t>
      </w:r>
      <w:r>
        <w:rPr>
          <w:u w:val="single"/>
        </w:rPr>
        <w:t xml:space="preserve">39.053(c)(1)(G)</w:t>
      </w:r>
      <w:r>
        <w:t xml:space="preserve"> [</w:t>
      </w:r>
      <w:r>
        <w:rPr>
          <w:strike/>
        </w:rPr>
        <w:t xml:space="preserve">39.053(c)(1)(B)(ix)</w:t>
      </w:r>
      <w:r>
        <w:t xml:space="preserve">] for a dropout recovery school. </w:t>
      </w:r>
      <w:r>
        <w:t xml:space="preserve"> </w:t>
      </w:r>
      <w:r>
        <w:t xml:space="preserve">The alternative completion rate shall be the ratio of the total number of students who graduate, continue attending school into the next academic year, or receive a high school equivalency certificate to the total number of students in the longitudinal cohort of students.</w:t>
      </w:r>
    </w:p>
    <w:p w:rsidR="003F3435" w:rsidRDefault="0032493E">
      <w:pPr>
        <w:spacing w:line="480" w:lineRule="auto"/>
        <w:ind w:firstLine="720"/>
        <w:jc w:val="both"/>
      </w:pPr>
      <w:r>
        <w:t xml:space="preserve">(c)</w:t>
      </w:r>
      <w:r xml:space="preserve">
        <w:t> </w:t>
      </w:r>
      <w:r xml:space="preserve">
        <w:t> </w:t>
      </w:r>
      <w:r>
        <w:t xml:space="preserve">Notwithstanding Section </w:t>
      </w:r>
      <w:r>
        <w:rPr>
          <w:u w:val="single"/>
        </w:rPr>
        <w:t xml:space="preserve">39.053(c)(1)(G)</w:t>
      </w:r>
      <w:r>
        <w:t xml:space="preserve"> [</w:t>
      </w:r>
      <w:r>
        <w:rPr>
          <w:strike/>
        </w:rPr>
        <w:t xml:space="preserve">39.053(c)(1)(B)(ix)</w:t>
      </w:r>
      <w:r>
        <w:t xml:space="preserve">], in determining the performance rating under Section 39.054 of a dropout recovery school, the commissioner shall include any student described by Section 39.053(g-1) who graduates or receives a high school equivalency certificate.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39.055, Education Code, is amended to read as follows:</w:t>
      </w:r>
    </w:p>
    <w:p w:rsidR="003F3435" w:rsidRDefault="0032493E">
      <w:pPr>
        <w:spacing w:line="480" w:lineRule="auto"/>
        <w:ind w:firstLine="720"/>
        <w:jc w:val="both"/>
      </w:pPr>
      <w:r>
        <w:t xml:space="preserve">Sec.</w:t>
      </w:r>
      <w:r xml:space="preserve">
        <w:t> </w:t>
      </w:r>
      <w:r>
        <w:t xml:space="preserve">39.055.</w:t>
      </w:r>
      <w:r xml:space="preserve">
        <w:t> </w:t>
      </w:r>
      <w:r xml:space="preserve">
        <w:t> </w:t>
      </w:r>
      <w:r>
        <w:t xml:space="preserve">STUDENT ORDERED BY A JUVENILE COURT OR STUDENT IN RESIDENTIAL FACILITY NOT CONSIDERED FOR ACCOUNTABILITY PURPOSES. </w:t>
      </w:r>
      <w:r>
        <w:t xml:space="preserve"> </w:t>
      </w:r>
      <w:r>
        <w:t xml:space="preserve">Notwithstanding any other provision of this code except to the extent otherwise provided under Section 39.053(g-3), for purposes of determining the performance of a school district, campus, or open-enrollment charter school under this chapter, a student ordered by a juvenile court into a residential program or facility operated by or under contract with the Texas Juvenile Justice Department, a juvenile board, or any other governmental entity or any student who is receiving treatment in a residential facility is not considered to be a student of the school district in which the program or facility is physically located or of an open-enrollment charter school, as applicable. </w:t>
      </w:r>
      <w:r>
        <w:t xml:space="preserve"> </w:t>
      </w:r>
      <w:r>
        <w:t xml:space="preserve">The performance of such a student on an [</w:t>
      </w:r>
      <w:r>
        <w:rPr>
          <w:strike/>
        </w:rPr>
        <w:t xml:space="preserve">assessment instrument or other</w:t>
      </w:r>
      <w:r>
        <w:t xml:space="preserve">] achievement indicator adopted under Section 39.053 or reporting indicator adopted under Section 39.301 shall be determined, reported, and considered separately from the performance of students attending a school of the district in which the program or facility is physically located or an open-enrollment charter school, as applicable.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39.0552, Education Code, is amended to read as follows:</w:t>
      </w:r>
    </w:p>
    <w:p w:rsidR="003F3435" w:rsidRDefault="0032493E">
      <w:pPr>
        <w:spacing w:line="480" w:lineRule="auto"/>
        <w:ind w:firstLine="720"/>
        <w:jc w:val="both"/>
      </w:pPr>
      <w:r>
        <w:t xml:space="preserve">Sec.</w:t>
      </w:r>
      <w:r xml:space="preserve">
        <w:t> </w:t>
      </w:r>
      <w:r>
        <w:t xml:space="preserve">39.0552.</w:t>
      </w:r>
      <w:r xml:space="preserve">
        <w:t> </w:t>
      </w:r>
      <w:r xml:space="preserve">
        <w:t> </w:t>
      </w:r>
      <w:r>
        <w:t xml:space="preserve">MEMORANDUM OF UNDERSTANDING BETWEEN SCHOOL DISTRICT AND STATE HOSPITAL FOR ACCOUNTABILITY PURPOSES. </w:t>
      </w:r>
      <w:r>
        <w:t xml:space="preserve"> </w:t>
      </w:r>
      <w:r>
        <w:t xml:space="preserve">A memorandum of understanding between a school district and a state hospital under which the district provides educational services to a student who resides in the state hospital must provide that the school district include the performance of the student on an [</w:t>
      </w:r>
      <w:r>
        <w:rPr>
          <w:strike/>
        </w:rPr>
        <w:t xml:space="preserve">assessment instrument or other</w:t>
      </w:r>
      <w:r>
        <w:t xml:space="preserve">] achievement indicator adopted under Section 39.053 or a reporting indicator adopted under Section 39.301 in determining the performance of that school district.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39.053(c-2), (c-3), (d), and (d-1); and</w:t>
      </w:r>
    </w:p>
    <w:p w:rsidR="003F3435" w:rsidRDefault="0032493E">
      <w:pPr>
        <w:spacing w:line="480" w:lineRule="auto"/>
        <w:ind w:firstLine="1440"/>
        <w:jc w:val="both"/>
      </w:pPr>
      <w:r>
        <w:t xml:space="preserve">(2)</w:t>
      </w:r>
      <w:r xml:space="preserve">
        <w:t> </w:t>
      </w:r>
      <w:r xml:space="preserve">
        <w:t> </w:t>
      </w:r>
      <w:r>
        <w:t xml:space="preserve">Section 39.0548(d).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