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2664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customer information by government-operated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182.054, Utilities Code, is amended to read as follows:</w:t>
      </w:r>
    </w:p>
    <w:p w:rsidR="003F3435" w:rsidRDefault="0032493E">
      <w:pPr>
        <w:spacing w:line="480" w:lineRule="auto"/>
        <w:ind w:firstLine="720"/>
        <w:jc w:val="both"/>
      </w:pPr>
      <w:r>
        <w:t xml:space="preserve">Sec.</w:t>
      </w:r>
      <w:r xml:space="preserve">
        <w:t> </w:t>
      </w:r>
      <w:r>
        <w:t xml:space="preserve">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another entity as necessary to facilitate the transition of customers among retail electric providers under Section 40.053 or to comply with rules, guidelines, and procedures established by an independent organization certified under Section 39.151;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retail electric provider, as defined by Section 31.002(17)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