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88R4793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Sexual Assault Survivors' Task Force and to compensation for task force members and certain other task force participants.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772.0064, Government Code, is amended by amending Subsection (d) and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task force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governor or the governor's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each state agency that has duties relating to the prevention, investigation, or prosecution of sexual assault or other sex offenses or provides services to survivors,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office of the attorney general;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Health and Human Services Commission;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executive director of the Texas Commission on Law Enforcement or the executive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presiding officer of the Texas Forensic Science Commission or the presiding officer's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division director of the law enforcement support division of the Texas Department of Public Safety with authority over the Crime Laboratory Service or the division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president of the Texas Association of Crime Laboratory Directors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president of the Texas District and County Attorney's Association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president of the Texas Society of Pathologists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International Association of Forensic Nurses Texas Chapter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statewide organization described by Section 264.409, Family Code,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state sexual assault coalition, as defined by Section 420.003,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a representative from a law enforcement agency appointed by the steering committee described by Subsection (c);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a sexual assault nurse examiner appointed by the steering committee described by Subsection (c) to represent the interests of health care facilities that perform sexual assault forensic exams;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adult survivor of child sexual abuse or the parent or guardian of a survivor of child sexual abuse;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survivor of adult sexual assault;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other members considered appropriate by the steering committee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task force member who is not employed by a state agency or an individual invited by the governor to participate in scheduled task force meetings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 diem in the amount provided by the General Appropriations Act for each day the member performs duties as a task force member or the individual attends a task force meeting;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actual and necessary expenses incurred in performing duties as a member or participant of the task force, as applicable.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772.0064(m),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