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88R9555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postponement of a hearing for a temporary order in certain family law cases referred to mediation.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6.502, Family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court on its own motion refers to mediation a suit described by Subsection (a) in which a motion for a temporary order described by that subsection is pending, the court may not postpone the initial hearing on the pending motion to a date that is later than the 30th day after the date set for the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105.001, Family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court on its own motion refers to mediation a suit in which an initial hearing regarding the rendition of a temporary order described by Subsection (a) has not yet occurred, the court may not postpone the hearing to a date that is later than the 30th day after the date set for the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a suit that is pending in a trial court on the effective date of this Act or that is filed on or after that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