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submitted to the comptroller for designation as a state depository.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404.022(a), (c),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comptroller, not later than the first business day in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June</w:t>
      </w:r>
      <w:r>
        <w:t xml:space="preserve">] of each odd-numbered year, shall </w:t>
      </w:r>
      <w:r>
        <w:rPr>
          <w:u w:val="single"/>
        </w:rPr>
        <w:t xml:space="preserve">notify</w:t>
      </w:r>
      <w:r>
        <w:t xml:space="preserve"> [</w:t>
      </w:r>
      <w:r>
        <w:rPr>
          <w:strike/>
        </w:rPr>
        <w:t xml:space="preserve">mail to each</w:t>
      </w:r>
      <w:r>
        <w:t xml:space="preserve">] eligible </w:t>
      </w:r>
      <w:r>
        <w:rPr>
          <w:u w:val="single"/>
        </w:rPr>
        <w:t xml:space="preserve">institutions of</w:t>
      </w:r>
      <w:r>
        <w:t xml:space="preserve"> [</w:t>
      </w:r>
      <w:r>
        <w:rPr>
          <w:strike/>
        </w:rPr>
        <w:t xml:space="preserve">institution a letter stating</w:t>
      </w:r>
      <w:r>
        <w:t xml:space="preserve">] the conditions with which applicants for designation as a state depository must comply. </w:t>
      </w:r>
      <w:r>
        <w:t xml:space="preserve"> </w:t>
      </w:r>
      <w:r>
        <w:t xml:space="preserve">The comptroller shall keep on file in the comptroller's office and make available for inspection by any person a list of institutions to which </w:t>
      </w:r>
      <w:r>
        <w:rPr>
          <w:u w:val="single"/>
        </w:rPr>
        <w:t xml:space="preserve">notification has</w:t>
      </w:r>
      <w:r>
        <w:t xml:space="preserve"> [</w:t>
      </w:r>
      <w:r>
        <w:rPr>
          <w:strike/>
        </w:rPr>
        <w:t xml:space="preserve">letters have</w:t>
      </w:r>
      <w:r>
        <w:t xml:space="preserve">] been 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application shall be mailed </w:t>
      </w:r>
      <w:r>
        <w:rPr>
          <w:u w:val="single"/>
        </w:rPr>
        <w:t xml:space="preserve">or electronically submitted</w:t>
      </w:r>
      <w:r>
        <w:t xml:space="preserve"> to the comptroller at Austin and must be received before noon on the first business day of August of the year in which the </w:t>
      </w:r>
      <w:r>
        <w:rPr>
          <w:u w:val="single"/>
        </w:rPr>
        <w:t xml:space="preserve">notification</w:t>
      </w:r>
      <w:r>
        <w:t xml:space="preserve"> [</w:t>
      </w:r>
      <w:r>
        <w:rPr>
          <w:strike/>
        </w:rPr>
        <w:t xml:space="preserve">letter</w:t>
      </w:r>
      <w:r>
        <w:t xml:space="preserve">] is sent. </w:t>
      </w:r>
      <w:r>
        <w:t xml:space="preserve"> </w:t>
      </w:r>
      <w:r>
        <w:t xml:space="preserve">An application received after that time may be considered at the option of the comptroller. </w:t>
      </w:r>
      <w:r>
        <w:t xml:space="preserve"> </w:t>
      </w:r>
      <w:r>
        <w:t xml:space="preserve">The comptroller may charge a processing fee of $25 for each application and shall deposit the fees to the credit of the general revenue fund. </w:t>
      </w:r>
      <w:r>
        <w:t xml:space="preserve"> </w:t>
      </w:r>
      <w:r>
        <w:rPr>
          <w:u w:val="single"/>
        </w:rPr>
        <w:t xml:space="preserve">The comptroller may specify the format required for electronic submissions and may adopt rules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receipt of an application under this section, the comptroller shall endorse on the application the date of its receipt.</w:t>
      </w:r>
      <w:r>
        <w:t xml:space="preserve">] </w:t>
      </w:r>
      <w:r>
        <w:t xml:space="preserve"> </w:t>
      </w:r>
      <w:r>
        <w:t xml:space="preserve">The comptroller shall prepare a list of the names of the applicants and the amount for which each has applied.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