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88R13472 MPF-F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2676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sale of distilled spirits at a temporary location by the holder of a distiller's and rectifier's permit.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14.01(a), Alcoholic Beverage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holder of a distiller's and rectifier's permit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manufacture distilled spirits;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rectify, purify, and refine distilled spirits and wines;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mix wines, distilled spirits, or other liquors;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bottle, label, and package the permit holder's finished products;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sell the finished products in this state to holders of wholesaler's permits and to qualified persons outside the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purchase distilled spirits, to be used only for manufacturing or rectification purposes, from holders of nonresident seller's permits or distiller's and rectifier's permits;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dispense free distilled spirits for consumption on the permitted premises under Section 14.04;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sell bulk alcohol produced by the permit holder for purposes described by Section 38.01;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sell distilled spirits to ultimate consumers under Section 14.04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14.05</w:t>
      </w:r>
      <w:r>
        <w:rPr>
          <w:u w:val="single"/>
        </w:rPr>
        <w:t xml:space="preserve">, or 14.09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14, Alcoholic Beverage Code, is amended by adding Section 14.09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14.09.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SALES AT TEMPORARY LOCATION.  (a)  The holder of a distiller's and rectifier's permit may sell distilled spirits at a civic or distilled spirits festival, farmers' market, celebration, or similar event promoting culture and tourism in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holder of a distiller's and rectifier's permit may not offer distilled spirits for sale under this section on more than four consecutive days at the same location.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adopt rules to implement this section, including rules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the permit holder to notify the commission of the dates on which and location where the permit holder will temporarily offer distilled spirits for sale under this section;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a procedure to verify the wet or dry status of the location where the permit holder intends to temporarily sell distilled spirits under this section;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detail the circumstances when a permit holder may temporarily sell distilled spirits under this section with just a notification to the commission and the circumstances that require the commission's preapproval before a permit holder may temporarily sell distilled spirits under this section;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the permit holder to provide any other information the commission determines necessary.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provisions of this code applicable to the sale of distilled spirits on the permitted premises of the holder of a distiller's and rectifier's permit apply to the sale of distilled spirits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2676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