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88R3371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addressing workplace bullying in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11.1513, Education Code, is amended by adding Subsection (i-1)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employment policy must include anti-bullying measures to address bullying in the workplace, including provisions to address the bullying of a teacher by a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