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2678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current state law and any potential changes to state law that are needed to facilitate the implementation of advanced air mobility technology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statewide plan, including a proposed timeline, for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2024, the advisory committee shall submit to the commission and the legislature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committee's findings and recommendations on any changes to state law that are needed to facilitate the implementation of advanced air mobility technology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statewide plan developed under Subsection (b)(2).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and Texas Higher Education Coordinating Board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and Texas Higher Education Coordinating Board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and Texas Higher Education Coordinating Board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