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88R13966 JAM-D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Thierry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2679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and report on the establishment and implementation of a program that provides financial assistance to property owners who offer housing to veterans at risk of homelessness.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(a)  In this section, "council" means the Texas Interagency Council for the Homeless.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council shall conduct a study to evaluate the feasibility, methods, and costs of establishing and implementing a program that provides financial assistance to property owners who offer housing to veterans at risk of homelessness.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 conducting the study, the council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evaluate and identify any sources of funding that might be available to cover the probable cost of the program;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evaluate methods that have been implemented by other states to provide a similar program;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identify the state agency or agencies that could most efficiently implement and administer the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Not later than September 1, 2024, the council shall submit to the legislature a written report on the results of the study and any recommendations for legislative or other action.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This section expires September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2679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