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88R21981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Frazier, Bumgarner, Kitzman, Lujan,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2681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545.3051, Transportation Code, is amended by amending Subsections (b), (d),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political subdivision that has a fire department shall develop and implement a policy concerning the fire department consulting with law enforcement agencies regarding removal of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