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88R21981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Frazier, Bumgarner, Kitzman,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2681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2681: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2681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545.3051, Transportation Code, is amended by amending Subsections (b), (d),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political subdivision that has a fire department shall develop and implement a policy concerning the fire department consulting with law enforcement agencies regarding removal of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2681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