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88R6496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2685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unlawful use of criminal instrument or certain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16.01, Penal Code, is amended to read as follows:</w:t>
      </w:r>
    </w:p>
    <w:p w:rsidR="003F3435" w:rsidRDefault="0032493E">
      <w:pPr>
        <w:spacing w:line="480" w:lineRule="auto"/>
        <w:ind w:firstLine="720"/>
        <w:jc w:val="both"/>
      </w:pPr>
      <w:r>
        <w:t xml:space="preserve">Sec.</w:t>
      </w:r>
      <w:r xml:space="preserve">
        <w:t> </w:t>
      </w:r>
      <w:r>
        <w:t xml:space="preserve">16.01.</w:t>
      </w:r>
      <w:r xml:space="preserve">
        <w:t> </w:t>
      </w:r>
      <w:r xml:space="preserve">
        <w:t> </w:t>
      </w:r>
      <w:r>
        <w:t xml:space="preserve">UNLAWFUL USE OF CRIMINAL INSTRUMENT OR </w:t>
      </w:r>
      <w:r>
        <w:rPr>
          <w:u w:val="single"/>
        </w:rPr>
        <w:t xml:space="preserve">CERTAIN DEVICES</w:t>
      </w:r>
      <w:r>
        <w:t xml:space="preserve"> [</w:t>
      </w:r>
      <w:r>
        <w:rPr>
          <w:strike/>
        </w:rPr>
        <w:t xml:space="preserve">MECHANICAL SECURITY DEVICE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16.01(a),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possesses a criminal instrument</w:t>
      </w:r>
      <w:r>
        <w:rPr>
          <w:u w:val="single"/>
        </w:rPr>
        <w:t xml:space="preserve">,</w:t>
      </w:r>
      <w:r>
        <w:t xml:space="preserve"> [</w:t>
      </w:r>
      <w:r>
        <w:rPr>
          <w:strike/>
        </w:rPr>
        <w:t xml:space="preserve">or</w:t>
      </w:r>
      <w:r>
        <w:t xml:space="preserve">] mechanical security device</w:t>
      </w:r>
      <w:r>
        <w:rPr>
          <w:u w:val="single"/>
        </w:rPr>
        <w:t xml:space="preserve">, motor vehicle key programming device, or relay hack device</w:t>
      </w:r>
      <w:r>
        <w:t xml:space="preserve"> with the intent to use the instrument or device in the commission of an offense; or</w:t>
      </w:r>
    </w:p>
    <w:p w:rsidR="003F3435" w:rsidRDefault="0032493E">
      <w:pPr>
        <w:spacing w:line="480" w:lineRule="auto"/>
        <w:ind w:firstLine="1440"/>
        <w:jc w:val="both"/>
      </w:pPr>
      <w:r>
        <w:t xml:space="preserve">(2)</w:t>
      </w:r>
      <w:r xml:space="preserve">
        <w:t> </w:t>
      </w:r>
      <w:r xml:space="preserve">
        <w:t> </w:t>
      </w:r>
      <w:r>
        <w:t xml:space="preserve">with knowledge of its character and with the intent to use a criminal instrument</w:t>
      </w:r>
      <w:r>
        <w:rPr>
          <w:u w:val="single"/>
        </w:rPr>
        <w:t xml:space="preserve">,</w:t>
      </w:r>
      <w:r>
        <w:t xml:space="preserve"> [</w:t>
      </w:r>
      <w:r>
        <w:rPr>
          <w:strike/>
        </w:rPr>
        <w:t xml:space="preserve">or</w:t>
      </w:r>
      <w:r>
        <w:t xml:space="preserve">] mechanical security device</w:t>
      </w:r>
      <w:r>
        <w:rPr>
          <w:u w:val="single"/>
        </w:rPr>
        <w:t xml:space="preserve">, motor vehicle key programming device, or relay hack device</w:t>
      </w:r>
      <w:r>
        <w:t xml:space="preserve"> or aid or permit another to use the instrument or device in the commission of an offense, the person manufactures, adapts, sells, installs, or sets up the instrument or device.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16.01(b), Penal Code, is amended by adding Subdivisions (3), (4), and (5)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"Motor vehicle" has the meaning assigned by Section 32.34.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"Motor vehicle key programming device" means a device designed or used to electronically communicate with a motor vehicle for the purpose of programing a blank motor vehicle key fob that is capable of being used to start and operate the motor vehicle.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"Relay hack device" means a device capable of intercepting the signal from a motor vehicle key fob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unlocking the motor vehicle;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remotely activating the ignition of the motor vehicle.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