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88R5806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at which a juvenile court may exercise jurisdiction over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 years of age or older and under 13 years of age who is alleged or found to have engaged in conduct that contains the elements of any of the following offenses under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aggravated assault under Section 22.02, sexual assault under Section 22.011, or aggravated sexual assault under Section 22.021;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arson under Section 28.02;</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murder under Section 19.02, capital murder under Section 19.03, or criminal attempt under Section 15.01 to commit murder or capital murder;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indecency with a child under Section 21.11;</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aggravated kidnapping under Section 20.04;</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aggravated robbery under Section 29.03;</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manslaughter under Section 19.04;</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criminally negligent homicide under Section 19.05; or</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continuous sexual abuse of young child or disabled individual under Section 21.02;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13</w:t>
      </w:r>
      <w:r>
        <w:t xml:space="preserve"> </w:t>
      </w:r>
      <w:r>
        <w:t xml:space="preserve">[</w:t>
      </w:r>
      <w:r>
        <w:rPr>
          <w:strike/>
        </w:rPr>
        <w:t xml:space="preserve">ten</w:t>
      </w:r>
      <w:r>
        <w:t xml:space="preserve">] years of age or older and under 17 years of 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17</w:t>
      </w:r>
      <w:r>
        <w:t xml:space="preserve"> </w:t>
      </w:r>
      <w:r>
        <w:t xml:space="preserve">[</w:t>
      </w:r>
      <w:r>
        <w:rPr>
          <w:strike/>
        </w:rPr>
        <w:t xml:space="preserve">(B)</w:t>
      </w:r>
      <w:r xml:space="preserve">
        <w:rPr>
          <w:strike/>
        </w:rPr>
        <w:t> </w:t>
      </w:r>
      <w:r xml:space="preserve">
        <w:rPr>
          <w:strike/>
        </w:rPr>
        <w:t> </w:t>
      </w:r>
      <w:r>
        <w:rPr>
          <w:strike/>
        </w:rPr>
        <w:t xml:space="preserve">seventeen</w:t>
      </w:r>
      <w:r>
        <w:t xml:space="preserve">] years of age or older and under 18 years of age who is alleged or found to have engaged in delinquent conduct or conduct indicating a need for supervision as a result of acts committed before becoming 17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54, Family Code, is amended by adding Section 54.021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54.021.</w:t>
      </w:r>
      <w:r>
        <w:rPr>
          <w:u w:val="single"/>
        </w:rPr>
        <w:t xml:space="preserve"> </w:t>
      </w:r>
      <w:r>
        <w:rPr>
          <w:u w:val="single"/>
        </w:rPr>
        <w:t xml:space="preserve"> </w:t>
      </w:r>
      <w:r>
        <w:rPr>
          <w:u w:val="single"/>
        </w:rPr>
        <w:t xml:space="preserve">WAIVER OF JURISDICTION FOR CHILD UNDER 13 YEARS OF AGE.  (a) </w:t>
      </w:r>
      <w:r>
        <w:rPr>
          <w:u w:val="single"/>
        </w:rPr>
        <w:t xml:space="preserve"> </w:t>
      </w:r>
      <w:r>
        <w:rPr>
          <w:u w:val="single"/>
        </w:rPr>
        <w:t xml:space="preserve">The juvenile court must, before holding an adjudication hearing, hold a hearing without a jury to determine whether to waive its exclusive original jurisdiction over a child under 13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hearing under this section, the juvenile court shall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restrictive interventions by the child's parent, guardian, family, or school, or by child protective services or county family and youth services, are available and will be sufficient to ensure the safety of the public and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intervention by the court is warranted;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in the best interest of the child for the court to intervene.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elects not to waive its jurisdiction over a child in a hearing under this section, the court shall state the reasons for its decision in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elects to waive its jurisdiction over a child in a hearing under this section, the court shall dismiss all charges against the child.  The court shall refer the child to the person who conducted the preliminary investigation of the child under Section 53.01 for a referral for services described by Subsection (b)(1), as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or conduct that occurs on or after the effective date of this Act.  An offense committed or conduct that occurred before that date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