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modification of certain orders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156, Family Code, is amended by adding Section 156.1011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156.1011.</w:t>
      </w:r>
      <w:r>
        <w:rPr>
          <w:u w:val="single"/>
        </w:rPr>
        <w:t xml:space="preserve"> </w:t>
      </w:r>
      <w:r>
        <w:rPr>
          <w:u w:val="single"/>
        </w:rPr>
        <w:t xml:space="preserve"> </w:t>
      </w:r>
      <w:r>
        <w:rPr>
          <w:u w:val="single"/>
        </w:rPr>
        <w:t xml:space="preserve">REQUIRED FINDINGS FOR CERTAIN MODIFICATIONS;</w:t>
      </w:r>
      <w:r>
        <w:rPr>
          <w:u w:val="single"/>
        </w:rPr>
        <w:t xml:space="preserve"> PARENTAL PRESUMPTION.  (a)  In a suit seeking to modify an order appointing a child's parent as the child's managing conservator, the court may not remove the parent as the child's managing conservator unless the court finds that the parent's continued appointment would not be in the best interest of the child because the continued appointment would significantly impair the child's physical health or emotional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suit by a nonparent seeking a modification that has the effect of creating a designation, or changing the designation of the person who has the exclusive right to designate the primary residence of the child, if one or both of the child's parents were named in the final order as a managing conservator of the child, the court shall designate or maintain the designation of a parent managing conservator as the person with the exclusive right to designate the child's primary residence unless the court finds that the designation would significantly impair the child's physical health or emotional development.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153.373 applies in a suit for modification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suit for modification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