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88R10579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Cook, Leach, Bowers,</w:t>
      </w:r>
      <w:r xml:space="preserve">
        <w:tab wTab="150" tlc="none" cTlc="0"/>
      </w:r>
      <w:r>
        <w:t xml:space="preserve">H.B.</w:t>
      </w:r>
      <w:r xml:space="preserve">
        <w:t> </w:t>
      </w:r>
      <w:r>
        <w:t xml:space="preserve">No.</w:t>
      </w:r>
      <w:r xml:space="preserve">
        <w:t> </w:t>
      </w:r>
      <w:r>
        <w:t xml:space="preserve">2696</w:t>
      </w:r>
    </w:p>
    <w:p w:rsidR="003F3435" w:rsidRDefault="0032493E">
      <w:pPr>
        <w:jc w:val="both"/>
      </w:pPr>
      <w:r xml:space="preserve">
        <w:t> </w:t>
      </w:r>
      <w:r xml:space="preserve">
        <w:t> </w:t>
      </w:r>
      <w:r xml:space="preserve">
        <w:t> </w:t>
      </w:r>
      <w:r xml:space="preserve">
        <w:t> </w:t>
      </w:r>
      <w:r xml:space="preserve">
        <w:t> </w:t>
      </w:r>
      <w:r>
        <w:t xml:space="preserve">A. Johnson of Harris,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22.011(b), Penal Code, is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other person has not consented and</w:t>
      </w:r>
      <w:r>
        <w:t xml:space="preserve">] the actor knows </w:t>
      </w:r>
      <w:r>
        <w:rPr>
          <w:u w:val="single"/>
        </w:rPr>
        <w:t xml:space="preserve">or reasonably should know</w:t>
      </w:r>
      <w:r>
        <w:t xml:space="preserve"> the other person is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unconscious</w:t>
      </w:r>
      <w:r>
        <w:rPr>
          <w:u w:val="single"/>
        </w:rPr>
        <w:t xml:space="preserve">;</w:t>
      </w:r>
      <w:r>
        <w:t xml:space="preserve">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physically unable to resist</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incapable either of appraising the nature of the act or of resisting the act;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unaware that the sexual assault is occurring</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actor knows or reasonably should know that the other person has withdrawn consent to the act and the actor persists after consent is withdrawn</w:t>
      </w:r>
      <w:r>
        <w:t xml:space="preserve"> [</w:t>
      </w:r>
      <w:r>
        <w:rPr>
          <w:strike/>
        </w:rPr>
        <w:t xml:space="preserve">the actor knows that as a result of mental disease or defect the other person is at the time of the sexual assault incapable either of appraising the nature of the act or of resisting it</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the actor knows or reasonably should know the other person is intoxicated by any substance such that the other person is incapable of consenting to the act</w:t>
      </w:r>
      <w:r>
        <w:t xml:space="preserve"> [</w:t>
      </w:r>
      <w:r>
        <w:rPr>
          <w:strike/>
        </w:rPr>
        <w:t xml:space="preserve">the other person has not consented and the actor knows the other person is unaware that the sexual assault is occurring</w:t>
      </w:r>
      <w:r>
        <w:t xml:space="preserv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actor is an employee of a facility where the other person is a resident, unless the employee and resident are formally or informally married to each other under Chapter 2, Family Code;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the actor is a coach or tutor who causes the other person to submit or participate by using the actor's power or influence to exploit the other person's dependency on the actor; or</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22.011(c), Penal Code, is amended by adding Subdivision (1-a) to read as follows:</w:t>
      </w:r>
    </w:p>
    <w:p w:rsidR="003F3435" w:rsidRDefault="0032493E">
      <w:pPr>
        <w:spacing w:line="480" w:lineRule="auto"/>
        <w:ind w:firstLine="1440"/>
        <w:jc w:val="both"/>
      </w:pPr>
      <w:r>
        <w:rPr>
          <w:u w:val="single"/>
        </w:rPr>
        <w:t xml:space="preserve">(1-a) "Consent" has the meaning assigned by Section 1.07.</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154.051(d-1), Occupations Code, is amended to read as follows:</w:t>
      </w:r>
    </w:p>
    <w:p w:rsidR="003F3435" w:rsidRDefault="0032493E">
      <w:pPr>
        <w:spacing w:line="480" w:lineRule="auto"/>
        <w:ind w:firstLine="720"/>
        <w:jc w:val="both"/>
      </w:pPr>
      <w:r>
        <w:t xml:space="preserve">(d-1)</w:t>
      </w:r>
      <w:r xml:space="preserve">
        <w:t> </w:t>
      </w:r>
      <w:r xml:space="preserve">
        <w:t> </w:t>
      </w:r>
      <w:r>
        <w:t xml:space="preserve">The board may not consider or act on a complaint involving an alleged violation of Section </w:t>
      </w:r>
      <w:r>
        <w:rPr>
          <w:u w:val="single"/>
        </w:rPr>
        <w:t xml:space="preserve">22.011(b)(11)</w:t>
      </w:r>
      <w:r>
        <w:t xml:space="preserve"> [</w:t>
      </w:r>
      <w:r>
        <w:rPr>
          <w:strike/>
        </w:rPr>
        <w:t xml:space="preserve">22.011(b)(12)</w:t>
      </w:r>
      <w:r>
        <w:t xml:space="preserve">], Penal Code, that occurred more than seven years before the date on which the complaint is received by the board or more than 2 years from the date the complainant knew or should have known of the facts giving rise to the complaint, whichever is later.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