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88R9230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funding resources awarded by the broadband development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490I.0103(c),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chapter does not grant the comptroller authority to regulate broadband services or broadband service providers or, except as required of an applicant or recipient under Section 490I.0106, to require broadband service providers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submit information to the comptroller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best practices for broadband development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490I.0106(b) and (h),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office shall establish and publish criteria for making awards under Subsection (a).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 in a designated area;</w:t>
      </w:r>
    </w:p>
    <w:p w:rsidR="003F3435" w:rsidRDefault="0032493E">
      <w:pPr>
        <w:spacing w:line="480" w:lineRule="auto"/>
        <w:ind w:firstLine="1440"/>
        <w:jc w:val="both"/>
      </w:pPr>
      <w:r>
        <w:t xml:space="preserve">(2)</w:t>
      </w:r>
      <w:r xml:space="preserve">
        <w:t> </w:t>
      </w:r>
      <w:r xml:space="preserve">
        <w:t> </w:t>
      </w:r>
      <w:r>
        <w:t xml:space="preserve">prioritize the applications of applicants that will expand access to and adoption of broadband service in eligible areas in which the lowest percentage of addresses have access to broadband service;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prioritize the applications of applicants that will expand access to broadband service in public and private primary and secondary schools and institutions of higher education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best practices for broadband development and provide the manner in which award recipients must comply with those best practices</w:t>
      </w:r>
      <w:r>
        <w:t xml:space="preserve">.</w:t>
      </w:r>
    </w:p>
    <w:p w:rsidR="003F3435" w:rsidRDefault="0032493E">
      <w:pPr>
        <w:spacing w:line="480" w:lineRule="auto"/>
        <w:ind w:firstLine="720"/>
        <w:jc w:val="both"/>
      </w:pPr>
      <w:r>
        <w:t xml:space="preserve">(h)</w:t>
      </w:r>
      <w:r xml:space="preserve">
        <w:t> </w:t>
      </w:r>
      <w:r xml:space="preserve">
        <w:t> </w:t>
      </w:r>
      <w:r>
        <w:t xml:space="preserve">The office shall establish and publish criteria for award recipients. The criteria must include requirements that grants, loans, and other financial incentives awarded through the program be used only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for capital expenses, purchase or lease of property, and other expenses, including backhaul and transport, that will facilitate the provision or adoption of broadband service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the office for compliance with the best practices for broadband development developed under Subsection (b)(4)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490I.0106, Government Code, as amended by this Act, applies only to an application submitted to the broadband development office on or after the date the office publishes the best practices for broadband development as provided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