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88R7731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prosecution of certain criminal offenses prohibiting sexually explicit visual material involving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43.26, Penal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conduct prohibited under this section,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43.261,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minor: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minor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43.262,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