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2700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prosecution of certain criminal offenses prohibiting sexually explicit visual material involving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conduct prohibited under this section, visual material to which that conduct applies includes a depiction of a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43.261,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conduct prohibited under Subsection (b), visual material to which that conduct applies includes a depiction of a minor: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as a minor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43.262,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conduct prohibited under Subsection (b), visual material to which that conduct applies includes a depiction of a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