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88R11440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Board of Pardons and Paroles.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508.031, Government Code, is amended by adding Subsections (a-1) and (c) and amending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must include at least: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two members who have bachelor's degrees in behavioral mental health, each of whom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licensed clinical social worker, as defined by Section 505.002, Occupations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licensed professional counselor, as defined by Section 503.002, Occupations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psychologist, as defined by Section 501.002, Occupations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member whose parent, sibling, child, or grandparent has been incarcerated;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but not more than three members who have bachelor's degrees in criminal justice or a related field and who are former employees of a law enforcement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Appointments to the board must be made without regard to the [</w:t>
      </w:r>
      <w:r>
        <w:rPr>
          <w:strike/>
        </w:rPr>
        <w:t xml:space="preserve">race, color,</w:t>
      </w:r>
      <w:r>
        <w:t xml:space="preserve">] disability, [</w:t>
      </w:r>
      <w:r>
        <w:rPr>
          <w:strike/>
        </w:rPr>
        <w:t xml:space="preserve">sex,</w:t>
      </w:r>
      <w:r>
        <w:t xml:space="preserve">] religion, </w:t>
      </w:r>
      <w:r>
        <w:rPr>
          <w:u w:val="single"/>
        </w:rPr>
        <w:t xml:space="preserve">or</w:t>
      </w:r>
      <w:r>
        <w:t xml:space="preserve"> age[</w:t>
      </w:r>
      <w:r>
        <w:rPr>
          <w:strike/>
        </w:rPr>
        <w:t xml:space="preserve">, or national origin</w:t>
      </w:r>
      <w:r>
        <w:t xml:space="preserve">] of the appointed members.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composition of the board must reflect the ethnic diversity of the inmate population of the department, and at least half of the members of the board must be female.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does not affect the entitlement of a member serving on the Board of Pardons and Paroles immediately before the effective date of this Act to continue to serve for the remainder of the member's term. </w:t>
      </w:r>
      <w:r>
        <w:t xml:space="preserve"> </w:t>
      </w:r>
      <w:r>
        <w:t xml:space="preserve">As the terms of members expire, the governor shall appoint or reappoint members who have the qualifications required by Section 508.031, Government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