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88R7693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 </w:t>
      </w:r>
      <w:r>
        <w:rPr>
          <w:u w:val="single"/>
        </w:rPr>
        <w:t xml:space="preserve">real property significant to the history of this state that the commission administers or acquires for use by the public</w:t>
      </w:r>
      <w:r>
        <w:t xml:space="preserve"> [</w:t>
      </w:r>
      <w:r>
        <w:rPr>
          <w:strike/>
        </w:rPr>
        <w:t xml:space="preserve">a site or park listed under Section 442.072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w:t>
      </w:r>
      <w:r>
        <w:rPr>
          <w:u w:val="single"/>
        </w:rPr>
        <w:t xml:space="preserve">commission has jurisdiction over</w:t>
      </w:r>
      <w:r>
        <w:t xml:space="preserve"> [</w:t>
      </w:r>
      <w:r>
        <w:rPr>
          <w:strike/>
        </w:rPr>
        <w:t xml:space="preserve">following</w:t>
      </w:r>
      <w:r>
        <w:t xml:space="preserve">] historic sites </w:t>
      </w:r>
      <w:r>
        <w:rPr>
          <w:u w:val="single"/>
        </w:rPr>
        <w:t xml:space="preserve">in this state</w:t>
      </w:r>
      <w:r>
        <w:t xml:space="preserve"> [</w:t>
      </w:r>
      <w:r>
        <w:rPr>
          <w:strike/>
        </w:rPr>
        <w:t xml:space="preserve">and parks are under the commission's jurisdiction: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Acton State Historic Site;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Caddoan Mounds State Historic Site;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Casa Navarro State Historic Site;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Confederate Reunion Grounds State Historic Site;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Eisenhower Birthplace State Historic Site;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Fannin Battleground State Historic Site;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Fanthorp Inn State Historic Site;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Fort Griffin State Historic Site;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Fort Lancaster State Historic Site;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Fort McKavett State Historic Site;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Fulton Mansion State Historic Site;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Landmark Inn State Historic Site;</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Levi Jordan State Historic Site;</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Lipantitlan State Historic Site;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Magoffin Home State Historic Site;</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Mission Dolores State Historic Site;</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Monument Hill and Kreische Brewery State Historic Sites;</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(19)</w:t>
      </w:r>
      <w:r xml:space="preserve">
        <w:rPr>
          <w:strike/>
        </w:rPr>
        <w:t> </w:t>
      </w:r>
      <w:r xml:space="preserve">
        <w:rPr>
          <w:strike/>
        </w:rPr>
        <w:t> </w:t>
      </w:r>
      <w:r>
        <w:rPr>
          <w:strike/>
        </w:rPr>
        <w:t xml:space="preserve">Sabine Pass Battleground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Sam Bell Maxey House State Historic Site;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San Felipe State Historic Site;</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Starr Family Home State Historic Site;</w:t>
      </w:r>
    </w:p>
    <w:p w:rsidR="003F3435" w:rsidRDefault="0032493E">
      <w:pPr>
        <w:spacing w:line="480" w:lineRule="auto"/>
        <w:ind w:firstLine="1440"/>
        <w:jc w:val="both"/>
      </w:pPr>
      <w:r>
        <w:t xml:space="preserve">[</w:t>
      </w:r>
      <w:r>
        <w:rPr>
          <w:strike/>
        </w:rPr>
        <w:t xml:space="preserve">(24)</w:t>
      </w:r>
      <w:r xml:space="preserve">
        <w:rPr>
          <w:strike/>
        </w:rPr>
        <w:t> </w:t>
      </w:r>
      <w:r xml:space="preserve">
        <w:rPr>
          <w:strike/>
        </w:rPr>
        <w:t> </w:t>
      </w:r>
      <w:r>
        <w:rPr>
          <w:strike/>
        </w:rPr>
        <w:t xml:space="preserve">Varner-Hogg Plantation State Historic Site;</w:t>
      </w:r>
    </w:p>
    <w:p w:rsidR="003F3435" w:rsidRDefault="0032493E">
      <w:pPr>
        <w:spacing w:line="480" w:lineRule="auto"/>
        <w:ind w:firstLine="1440"/>
        <w:jc w:val="both"/>
      </w:pPr>
      <w:r>
        <w:t xml:space="preserve">[</w:t>
      </w:r>
      <w:r>
        <w:rPr>
          <w:strike/>
        </w:rPr>
        <w:t xml:space="preserve">(25)</w:t>
      </w:r>
      <w:r xml:space="preserve">
        <w:rPr>
          <w:strike/>
        </w:rPr>
        <w:t> </w:t>
      </w:r>
      <w:r xml:space="preserve">
        <w:rPr>
          <w:strike/>
        </w:rPr>
        <w:t> </w:t>
      </w:r>
      <w:r>
        <w:rPr>
          <w:strike/>
        </w:rPr>
        <w:t xml:space="preserve">Washington-on-the-Brazos State Historic Site; and</w:t>
      </w:r>
    </w:p>
    <w:p w:rsidR="003F3435" w:rsidRDefault="0032493E">
      <w:pPr>
        <w:spacing w:line="480" w:lineRule="auto"/>
        <w:ind w:firstLine="1440"/>
        <w:jc w:val="both"/>
      </w:pPr>
      <w:r>
        <w:t xml:space="preserve">[</w:t>
      </w:r>
      <w:r>
        <w:rPr>
          <w:strike/>
        </w:rPr>
        <w:t xml:space="preserve">(26)</w:t>
      </w:r>
      <w:r xml:space="preserve">
        <w:rPr>
          <w:strike/>
        </w:rPr>
        <w:t> </w:t>
      </w:r>
      <w:r>
        <w:rPr>
          <w:strike/>
        </w:rPr>
        <w:t xml:space="preserve">  the property known as the French Legation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2054 does not apply to retail operations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trust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