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88R13988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w:t>
      </w:r>
      <w:r xml:space="preserve">
        <w:tab wTab="150" tlc="none" cTlc="0"/>
      </w:r>
      <w:r>
        <w:t xml:space="preserve">H.B.</w:t>
      </w:r>
      <w:r xml:space="preserve">
        <w:t> </w:t>
      </w:r>
      <w:r>
        <w:t xml:space="preserve">No.</w:t>
      </w:r>
      <w:r xml:space="preserve">
        <w:t> </w:t>
      </w:r>
      <w:r>
        <w:t xml:space="preserve">2720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establishing an intergovernmental development corporation in certain counties to foster minority- or women-owned construction businesses.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C, Title 12, Local Government Code, is amended by adding Chapter 396 to read as follows:</w:t>
      </w:r>
    </w:p>
    <w:p w:rsidR="003F3435" w:rsidRDefault="0032493E">
      <w:pPr>
        <w:spacing w:line="480" w:lineRule="auto"/>
        <w:jc w:val="center"/>
      </w:pPr>
      <w:r>
        <w:rPr>
          <w:u w:val="single"/>
        </w:rPr>
        <w:t xml:space="preserve">CHAPTER 396.  INTERGOVERNMENTAL DEVELOPMENT CORPORATIONS IN CERTAIN COUNTIES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396.001.</w:t>
      </w:r>
      <w:r>
        <w:rPr>
          <w:u w:val="single"/>
        </w:rPr>
        <w:t xml:space="preserve"> </w:t>
      </w:r>
      <w:r>
        <w:rPr>
          <w:u w:val="single"/>
        </w:rPr>
        <w:t xml:space="preserve"> </w:t>
      </w:r>
      <w:r>
        <w:rPr>
          <w:u w:val="single"/>
        </w:rPr>
        <w:t xml:space="preserve">APPLICABILITY.  This chapter applies only to a county with a population of more than two million that is adjacent to another county with a population of more than two million.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396.002.</w:t>
      </w:r>
      <w:r>
        <w:rPr>
          <w:u w:val="single"/>
        </w:rPr>
        <w:t xml:space="preserve"> </w:t>
      </w:r>
      <w:r>
        <w:rPr>
          <w:u w:val="single"/>
        </w:rPr>
        <w:t xml:space="preserve"> </w:t>
      </w:r>
      <w:r>
        <w:rPr>
          <w:u w:val="single"/>
        </w:rPr>
        <w:t xml:space="preserve">FINDING AND PURPOSE.  (a)  The legislature finds that</w:t>
      </w:r>
      <w:r>
        <w:rPr>
          <w:u w:val="single"/>
        </w:rPr>
        <w:t xml:space="preserve"> </w:t>
      </w:r>
      <w:r>
        <w:rPr>
          <w:u w:val="single"/>
        </w:rPr>
        <w:t xml:space="preserve">it is an appropriate role for local governmental entities to foster the development of construction businesses that are owned by members of a minority group or by women.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authorized by this chapter, including the authority to grant public money under the program, is in the public interest, promotes economic diversity, and serves the public purpose of economic development and diversification.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shall be liberally construed in conformity with the finding and purposes stated in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396.003.</w:t>
      </w:r>
      <w:r>
        <w:rPr>
          <w:u w:val="single"/>
        </w:rPr>
        <w:t xml:space="preserve"> </w:t>
      </w:r>
      <w:r>
        <w:rPr>
          <w:u w:val="single"/>
        </w:rPr>
        <w:t xml:space="preserve"> </w:t>
      </w:r>
      <w:r>
        <w:rPr>
          <w:u w:val="single"/>
        </w:rPr>
        <w:t xml:space="preserve">CREATION OF CORPORATION.  (a)  The commissioners court of a county subject to this chapter and the governing body of a single political subdivision or governing bodies of a combination of political subdivisions located wholly or partly in a county subject to this chapter may create a corporation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Only one corporation may be created in a county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corporation created under this chapter must be formed as a nonprofit corporation under the Business Organizations Code.  To the extent of a conflict with respect to the powers, rights, or duties of a nonprofit corporation between the Business Organizations Code and this chapter, this chapter prevails.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certificate of formation of the corporation must state that the corporation is governed by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initial bylaws of the corporation shall be adopted by its board of directors and approved by resolution by each governing body that created the corporation. </w:t>
      </w:r>
      <w:r>
        <w:rPr>
          <w:u w:val="single"/>
        </w:rPr>
        <w:t xml:space="preserve"> </w:t>
      </w:r>
      <w:r>
        <w:rPr>
          <w:u w:val="single"/>
        </w:rPr>
        <w:t xml:space="preserve">Any subsequent changes made to the bylaws must be approved by each governing body that created the corporation.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396.004.</w:t>
      </w:r>
      <w:r>
        <w:rPr>
          <w:u w:val="single"/>
        </w:rPr>
        <w:t xml:space="preserve"> </w:t>
      </w:r>
      <w:r>
        <w:rPr>
          <w:u w:val="single"/>
        </w:rPr>
        <w:t xml:space="preserve"> </w:t>
      </w:r>
      <w:r>
        <w:rPr>
          <w:u w:val="single"/>
        </w:rPr>
        <w:t xml:space="preserve">BOARD OF DIRECTORS.  (a)  The corporation is governed by a board of directors. </w:t>
      </w:r>
      <w:r>
        <w:rPr>
          <w:u w:val="single"/>
        </w:rPr>
        <w:t xml:space="preserve"> </w:t>
      </w:r>
      <w:r>
        <w:rPr>
          <w:u w:val="single"/>
        </w:rPr>
        <w:t xml:space="preserve">Each governing body that created the corporation shall appoint one member of the board.  If an even number of governing bodies are entitled to appoint a member to the board, the governing bodies, in addition to individually appointing one member as provided by this subsection, shall jointly appoint one member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Board members serve staggered two-year terms, with as near as possible to one-half of the members' terms expiring each year.  A board member serves at the will of the governing body or governing bodies, as applicable, that appointed the member.  Successor members are appointed in the same manner as the original appointees.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board member may not have a personal interest in a contract executed by the corporation.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board member is not entitled to compensation but is entitled to reimbursement for actual and necessary expenses incurred in serving as a board member.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board shall appoint from its members a presiding officer, a secretary, and other officers of the corporation that the board considers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396.005.</w:t>
      </w:r>
      <w:r>
        <w:rPr>
          <w:u w:val="single"/>
        </w:rPr>
        <w:t xml:space="preserve"> </w:t>
      </w:r>
      <w:r>
        <w:rPr>
          <w:u w:val="single"/>
        </w:rPr>
        <w:t xml:space="preserve"> </w:t>
      </w:r>
      <w:r>
        <w:rPr>
          <w:u w:val="single"/>
        </w:rPr>
        <w:t xml:space="preserve">ADOPTION AND APPROVAL OF BUDGET; REVIEW OF CORPORATE FINANCES.  (a)  The board shall prepare an annual budget for the corporation.  The budget must be approved by the board and presented to and approved by each governing body that created the corporation.  The corporation may not make any expenditure authorized by this chapter until the budget has been approved as provided by this section.  An amendment of the budget must be approved in the same manner as the budget.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governing body that created the corporation is entitled, at all times, to access to the books and records of the corporation.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396.006.</w:t>
      </w:r>
      <w:r>
        <w:rPr>
          <w:u w:val="single"/>
        </w:rPr>
        <w:t xml:space="preserve"> </w:t>
      </w:r>
      <w:r>
        <w:rPr>
          <w:u w:val="single"/>
        </w:rPr>
        <w:t xml:space="preserve"> </w:t>
      </w:r>
      <w:r>
        <w:rPr>
          <w:u w:val="single"/>
        </w:rPr>
        <w:t xml:space="preserve">PROGRAM TO FOSTER MINORITY- OR WOMEN-OWNED CONSTRUCTION BUSINESSES.  A corporation may develop and implement a program to provide for owners of construction businesses who are members of a minority group or who are women: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training and mentoring, including providing long-term training and in-training support service grants, through the participation of general contractors who have substantial experience and expertise providing construction services in the county;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undertaking, including granting public money, that the board determines will directly foster the development of construction businesses that are owned by members of a minority group or by women.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396.007.</w:t>
      </w:r>
      <w:r>
        <w:rPr>
          <w:u w:val="single"/>
        </w:rPr>
        <w:t xml:space="preserve"> </w:t>
      </w:r>
      <w:r>
        <w:rPr>
          <w:u w:val="single"/>
        </w:rPr>
        <w:t xml:space="preserve"> </w:t>
      </w:r>
      <w:r>
        <w:rPr>
          <w:u w:val="single"/>
        </w:rPr>
        <w:t xml:space="preserve">GENERAL POWERS OF CORPORATION.  The corporation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 a program authorized by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perform any act necessary for the full exercise of the corporation's powers;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accept a grant or loan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governing body that created the corporation;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department or agency of the United States;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department or agency of this state;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w:t>
      </w:r>
      <w:r>
        <w:rPr>
          <w:u w:val="single"/>
        </w:rPr>
        <w:t xml:space="preserve"> </w:t>
      </w:r>
      <w:r>
        <w:rPr>
          <w:u w:val="single"/>
        </w:rPr>
        <w:t xml:space="preserve">public or private person;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employ any necessary personnel;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adopt rules to govern the operation of the corporation and its employees and property;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contract or enter into a memorandum of understanding or a similar agreement with a public or private person in connection with a program authorized by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396.008.</w:t>
      </w:r>
      <w:r>
        <w:rPr>
          <w:u w:val="single"/>
        </w:rPr>
        <w:t xml:space="preserve"> </w:t>
      </w:r>
      <w:r>
        <w:rPr>
          <w:u w:val="single"/>
        </w:rPr>
        <w:t xml:space="preserve"> </w:t>
      </w:r>
      <w:r>
        <w:rPr>
          <w:u w:val="single"/>
        </w:rPr>
        <w:t xml:space="preserve">NATURE OF CORPORATE PROPERTY.  (a)  The legislature finds for all constitutional and statutory purposes that the corporation owns, uses, and holds its property for public purposes.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25.07(a), Tax Code, does not apply to a leasehold or other possessory interest granted by the corporation.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Property owned by the corporation is exempt from taxation under Section 11.11, Tax Code, while the corporation owns the property.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396.009.</w:t>
      </w:r>
      <w:r>
        <w:rPr>
          <w:u w:val="single"/>
        </w:rPr>
        <w:t xml:space="preserve"> </w:t>
      </w:r>
      <w:r>
        <w:rPr>
          <w:u w:val="single"/>
        </w:rPr>
        <w:t xml:space="preserve"> </w:t>
      </w:r>
      <w:r>
        <w:rPr>
          <w:u w:val="single"/>
        </w:rPr>
        <w:t xml:space="preserve">OPEN RECORDS AND MEETINGS.  The board is considered a governmental body for the purposes of Chapters 551 and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