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2725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truancy;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25.0915, Education Code, is amended by adding Subsection (a-5) and amending Subsection (b) to read as follows:</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If a school district previously imposed truancy prevention measures on a student and the student, in a succeeding school year, engages in conduct described by Section 65.003(a), Family Code, the school district may refer the student to truancy court without again imposing truancy prevention measures.</w:t>
      </w:r>
    </w:p>
    <w:p w:rsidR="003F3435" w:rsidRDefault="0032493E">
      <w:pPr>
        <w:spacing w:line="480" w:lineRule="auto"/>
        <w:ind w:firstLine="720"/>
        <w:jc w:val="both"/>
      </w:pPr>
      <w:r>
        <w:t xml:space="preserve">(b)</w:t>
      </w:r>
      <w:r xml:space="preserve">
        <w:t> </w:t>
      </w:r>
      <w:r xml:space="preserve">
        <w:t> </w:t>
      </w:r>
      <w:r>
        <w:t xml:space="preserve">Each referral to truancy court for conduct described by Section 65.003(a), Family Code, must:</w:t>
      </w:r>
    </w:p>
    <w:p w:rsidR="003F3435" w:rsidRDefault="0032493E">
      <w:pPr>
        <w:spacing w:line="480" w:lineRule="auto"/>
        <w:ind w:firstLine="1440"/>
        <w:jc w:val="both"/>
      </w:pPr>
      <w:r>
        <w:t xml:space="preserve">(1)</w:t>
      </w:r>
      <w:r xml:space="preserve">
        <w:t> </w:t>
      </w:r>
      <w:r xml:space="preserve">
        <w:t> </w:t>
      </w:r>
      <w:r>
        <w:t xml:space="preserve">be accompanied by a statement from the student's school certifying that:</w:t>
      </w:r>
    </w:p>
    <w:p w:rsidR="003F3435" w:rsidRDefault="0032493E">
      <w:pPr>
        <w:spacing w:line="480" w:lineRule="auto"/>
        <w:ind w:firstLine="2160"/>
        <w:jc w:val="both"/>
      </w:pPr>
      <w:r>
        <w:t xml:space="preserve">(A)</w:t>
      </w:r>
      <w:r xml:space="preserve">
        <w:t> </w:t>
      </w:r>
      <w:r xml:space="preserve">
        <w:t> </w:t>
      </w:r>
      <w:r>
        <w:t xml:space="preserve">the school applied</w:t>
      </w:r>
      <w:r>
        <w:rPr>
          <w:u w:val="single"/>
        </w:rPr>
        <w:t xml:space="preserve">, or has applied in a prior school year,</w:t>
      </w:r>
      <w:r>
        <w:t xml:space="preserve"> the truancy prevention measures adopted under Subsection (a) or (a-4) to the student; and</w:t>
      </w:r>
    </w:p>
    <w:p w:rsidR="003F3435" w:rsidRDefault="0032493E">
      <w:pPr>
        <w:spacing w:line="480" w:lineRule="auto"/>
        <w:ind w:firstLine="2160"/>
        <w:jc w:val="both"/>
      </w:pPr>
      <w:r>
        <w:t xml:space="preserve">(B)</w:t>
      </w:r>
      <w:r xml:space="preserve">
        <w:t> </w:t>
      </w:r>
      <w:r xml:space="preserve">
        <w:t> </w:t>
      </w:r>
      <w:r>
        <w:t xml:space="preserve">the truancy prevention measures failed to meaningfully address the student's school attendance; and</w:t>
      </w:r>
    </w:p>
    <w:p w:rsidR="003F3435" w:rsidRDefault="0032493E">
      <w:pPr>
        <w:spacing w:line="480" w:lineRule="auto"/>
        <w:ind w:firstLine="1440"/>
        <w:jc w:val="both"/>
      </w:pPr>
      <w:r>
        <w:t xml:space="preserve">(2)</w:t>
      </w:r>
      <w:r xml:space="preserve">
        <w:t> </w:t>
      </w:r>
      <w:r xml:space="preserve">
        <w:t> </w:t>
      </w:r>
      <w:r>
        <w:t xml:space="preserve">specify whether the student is eligible for or receives special education services under Subchapter A, Chapter 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25.093, Education Code, is amended by amending Subsection (c) and adding Subsection (g-1)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 is a misdemeanor, punishable by fine only, in an amount not to exceed:</w:t>
      </w:r>
    </w:p>
    <w:p w:rsidR="003F3435" w:rsidRDefault="0032493E">
      <w:pPr>
        <w:spacing w:line="480" w:lineRule="auto"/>
        <w:ind w:firstLine="1440"/>
        <w:jc w:val="both"/>
      </w:pPr>
      <w:r>
        <w:t xml:space="preserve">(1)</w:t>
      </w:r>
      <w:r xml:space="preserve">
        <w:t> </w:t>
      </w:r>
      <w:r xml:space="preserve">
        <w:t> </w:t>
      </w:r>
      <w:r>
        <w:rPr>
          <w:u w:val="single"/>
        </w:rPr>
        <w:t xml:space="preserve">$400</w:t>
      </w:r>
      <w:r>
        <w:t xml:space="preserve"> [</w:t>
      </w:r>
      <w:r>
        <w:rPr>
          <w:strike/>
        </w:rPr>
        <w:t xml:space="preserve">$100</w:t>
      </w:r>
      <w:r>
        <w:t xml:space="preserve">] for a first offense;</w:t>
      </w:r>
    </w:p>
    <w:p w:rsidR="003F3435" w:rsidRDefault="0032493E">
      <w:pPr>
        <w:spacing w:line="480" w:lineRule="auto"/>
        <w:ind w:firstLine="1440"/>
        <w:jc w:val="both"/>
      </w:pPr>
      <w:r>
        <w:t xml:space="preserve">(2)</w:t>
      </w:r>
      <w:r xml:space="preserve">
        <w:t> </w:t>
      </w:r>
      <w:r xml:space="preserve">
        <w:t> </w:t>
      </w:r>
      <w:r>
        <w:rPr>
          <w:u w:val="single"/>
        </w:rPr>
        <w:t xml:space="preserve">$500</w:t>
      </w:r>
      <w:r>
        <w:t xml:space="preserve"> [</w:t>
      </w:r>
      <w:r>
        <w:rPr>
          <w:strike/>
        </w:rPr>
        <w:t xml:space="preserve">$200</w:t>
      </w:r>
      <w:r>
        <w:t xml:space="preserve">] for a second offense;</w:t>
      </w:r>
    </w:p>
    <w:p w:rsidR="003F3435" w:rsidRDefault="0032493E">
      <w:pPr>
        <w:spacing w:line="480" w:lineRule="auto"/>
        <w:ind w:firstLine="1440"/>
        <w:jc w:val="both"/>
      </w:pPr>
      <w:r>
        <w:t xml:space="preserve">(3)</w:t>
      </w:r>
      <w:r xml:space="preserve">
        <w:t> </w:t>
      </w:r>
      <w:r xml:space="preserve">
        <w:t> </w:t>
      </w:r>
      <w:r>
        <w:rPr>
          <w:u w:val="single"/>
        </w:rPr>
        <w:t xml:space="preserve">$600</w:t>
      </w:r>
      <w:r>
        <w:t xml:space="preserve"> [</w:t>
      </w:r>
      <w:r>
        <w:rPr>
          <w:strike/>
        </w:rPr>
        <w:t xml:space="preserve">$300</w:t>
      </w:r>
      <w:r>
        <w:t xml:space="preserve">] for a third offense;</w:t>
      </w:r>
    </w:p>
    <w:p w:rsidR="003F3435" w:rsidRDefault="0032493E">
      <w:pPr>
        <w:spacing w:line="480" w:lineRule="auto"/>
        <w:ind w:firstLine="1440"/>
        <w:jc w:val="both"/>
      </w:pPr>
      <w:r>
        <w:t xml:space="preserve">(4)</w:t>
      </w:r>
      <w:r xml:space="preserve">
        <w:t> </w:t>
      </w:r>
      <w:r xml:space="preserve">
        <w:t> </w:t>
      </w:r>
      <w:r>
        <w:rPr>
          <w:u w:val="single"/>
        </w:rPr>
        <w:t xml:space="preserve">$700</w:t>
      </w:r>
      <w:r>
        <w:t xml:space="preserve"> [</w:t>
      </w:r>
      <w:r>
        <w:rPr>
          <w:strike/>
        </w:rPr>
        <w:t xml:space="preserve">$400</w:t>
      </w:r>
      <w:r>
        <w:t xml:space="preserve">] for a fourth offense; or</w:t>
      </w:r>
    </w:p>
    <w:p w:rsidR="003F3435" w:rsidRDefault="0032493E">
      <w:pPr>
        <w:spacing w:line="480" w:lineRule="auto"/>
        <w:ind w:firstLine="1440"/>
        <w:jc w:val="both"/>
      </w:pPr>
      <w:r>
        <w:t xml:space="preserve">(5)</w:t>
      </w:r>
      <w:r xml:space="preserve">
        <w:t> </w:t>
      </w:r>
      <w:r xml:space="preserve">
        <w:t> </w:t>
      </w:r>
      <w:r>
        <w:rPr>
          <w:u w:val="single"/>
        </w:rPr>
        <w:t xml:space="preserve">$800</w:t>
      </w:r>
      <w:r>
        <w:t xml:space="preserve"> [</w:t>
      </w:r>
      <w:r>
        <w:rPr>
          <w:strike/>
        </w:rPr>
        <w:t xml:space="preserve">$500</w:t>
      </w:r>
      <w:r>
        <w:t xml:space="preserve">] for a fifth or subsequent offense.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shall dismiss a fine imposed under this section if the parent presents the court with proof that the child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reached the age of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graduated from high school or received the equivalent of a high school diploma;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enlisted in the armed forces of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25, Education Code, is amended by adding Section 25.096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25.096.</w:t>
      </w:r>
      <w:r>
        <w:rPr>
          <w:u w:val="single"/>
        </w:rPr>
        <w:t xml:space="preserve"> </w:t>
      </w:r>
      <w:r>
        <w:rPr>
          <w:u w:val="single"/>
        </w:rPr>
        <w:t xml:space="preserve"> </w:t>
      </w:r>
      <w:r>
        <w:rPr>
          <w:u w:val="single"/>
        </w:rPr>
        <w:t xml:space="preserve">ANNUAL ATTENDANCE REPORT.  Each school district shall annually submit a report to the agency that includes, for the preceding school year, the following information disaggregated by campus and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failed to attend school without excuse for 10 or more days or parts of days within a six-month period in the same school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whom the district initiated a truancy prevention measure;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whom the district made a referral to truancy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parents of students against whom a complaint has been filed under Section 25.093.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E-1, Chapter 411, Government Code, is amended by adding Section 411.0737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411.0737.</w:t>
      </w:r>
      <w:r>
        <w:rPr>
          <w:u w:val="single"/>
        </w:rPr>
        <w:t xml:space="preserve"> </w:t>
      </w:r>
      <w:r>
        <w:rPr>
          <w:u w:val="single"/>
        </w:rPr>
        <w:t xml:space="preserve"> </w:t>
      </w:r>
      <w:r>
        <w:rPr>
          <w:u w:val="single"/>
        </w:rPr>
        <w:t xml:space="preserve">PROCEDURE FOR CONVICTION; PARENT CONTRIBUTING TO NONATTENDANCE.  (a)  This section applies only to a person who is convicted of an offense under Section 25.093,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may petition the court that imposed the sentence for an order of nondisclosure of criminal history record information under this section, regardless of whether the person has paid all fines and costs imposed.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notice to the state, an opportunity for a hearing, and a determination that the person is entitled to file the petition described by Subsection (b) and that issuance of an order of nondisclosure of criminal history record information is in the best interest of justice, the court shall issue an order prohibiting criminal justice agencies from disclosing to the public criminal history record information related to the offense for which the person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petition the court that imposed the sentence for an order of nondisclosure of criminal history record information under this section only on or after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completed payment of all fines and costs imposed under Section 25.093,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that the person failed to require to attend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reaches the age of 21;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 receives the equivalent of a high school diploma;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enlists in the armed forces of the United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411.074,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person who petitions for an order of nondisclosure under Section 411.0737.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25.0915, Education Code, as amended by 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Section 25.093, Education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2024, each school district shall submit to the Texas Education Agency the first attendance report required under Section 25.096,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