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88R9280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practice of nursing, including disciplinary procedures of the Texas Board of Nursing;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301.004(a),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gratuitous nursing care of the sick that is provided by a friend;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301.452(b-1),</w:t>
      </w:r>
      <w:r>
        <w:t xml:space="preserve"> </w:t>
      </w:r>
      <w:r>
        <w:t xml:space="preserve">nursing care provided during a disaster under the state emergency management plan adopted under Section 418.042, Government Code, if the person providing the care does not hold the person out as a nurse unless the person is licensed in another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nursing care in which treatment is solely by prayer or spiritual means;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act performed by a person under the delegated authority of a person licensed by the Texas Medical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act performed by a person licensed by another state agency if the act is authorized by the statute under which the person is licensed except that if the person also holds a license under this chapter and the act is within the practice of nursing, the board may take action against that license based on that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practice of nursing that is incidental to a program of study by a student enrolled in a nursing education program approved under Section 301.157(d) leading to an initial license as a nurse;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practice of nursing by a person licensed in another state who is in this state on a nonroutine basis for a period not to exceed 72 hours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 care to a patient being transported into, out of, or through 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 nursing consulting services;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attend or present a continuing nursing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301.452, Occupations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301.004(a)(2), a person practicing nursing in this state under the authority of a waiver or emergency declaration issued by the governor is subject to the jurisdiction of the board and requirements of this subchapter, including disciplinary action under Section 301.453.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301.466(d),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Notwithstanding Subsection (c), if the board orders a nurse to participate in a peer assistance program approved by the board under Section 467.003, Health and Safety Code, </w:t>
      </w:r>
      <w:r>
        <w:rPr>
          <w:u w:val="single"/>
        </w:rPr>
        <w:t xml:space="preserve">or a pilot program approved by the board under Section 301.1605,</w:t>
      </w:r>
      <w:r>
        <w:t xml:space="preserve"> the complaint, filing of formal charges, nature of those charges, final board order, and disciplinary proceedings are subject to disclosure: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only to the same extent as information regarding a complaint is subject to disclosure under Subsection (b);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 subsequent matter relating to the board order or a subsequent violation of this chapter or a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301, Occupations Code, is amended by adding Section 301.472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301.472.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EXPUNCTION OF DISCIPLINARY RECORD.  (a)  The board by rule shall adopt procedures to expunge records related to the discipline of a nurse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eligible for expunction of records under this section, a nurse must successfully complete the requirements of any: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disciplinary order imposed on the nurse by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agreed settlement or alternative dispute resolution approved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determining a nurse's eligibility for the expunction of records under this section, the board may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nurse has committed additional or repeated violations of this chapter or board rule during a period established by the board;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seriousness of previous violations of this chapter or board rule, as demonstrated by the sanctions imposed on the nurse.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disciplinary order expunged under this section is void.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disciplinary order and any related investigatory document, including any previously filed formal charge, expunged from a nurse's record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subject to disclosure, discovery, subpoena, or other means of legal compulsion for release;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public information and not subject to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report to the National Practitioner Data Bank the expunction of a nurse's disciplinary record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establish a fee for the expunction of a record under this section in an amount reasonable and necessary to cover the costs of administering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nurse whose disciplinary record has been expunged under this section may state in response to an inquiry that the expunged disciplinary record does not exist.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Board of Nursing shall adopt the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301.452(b-1), Occupations Code, as added by this Act, applies only to a person who practices nursing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