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H.B.</w:t>
      </w:r>
      <w:r xml:space="preserve">
        <w:t> </w:t>
      </w:r>
      <w:r>
        <w:t xml:space="preserve">No.</w:t>
      </w:r>
      <w:r xml:space="preserve">
        <w:t> </w:t>
      </w:r>
      <w:r>
        <w:t xml:space="preserve">2735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security required before filing suit against a groundwater conservation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36, Water Code, is amended by adding Section 36.2515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36.2515.</w:t>
      </w:r>
      <w:r>
        <w:rPr>
          <w:u w:val="single"/>
        </w:rPr>
        <w:t xml:space="preserve"> </w:t>
      </w:r>
      <w:r>
        <w:rPr>
          <w:u w:val="single"/>
        </w:rPr>
        <w:t xml:space="preserve"> </w:t>
      </w:r>
      <w:r>
        <w:rPr>
          <w:u w:val="single"/>
        </w:rPr>
        <w:t xml:space="preserve">SECURITY REQUIRED.  (a)  In this section, "security" means a bond or deposit posted by a plaintiff before filing suit against a district or, as provided by the Texas Rules of Appellate Procedure, by a judgment debtor to a district to suspend execution of the judgment during appeal of the judgment.</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52.006, Civil Practice and Remedies Code, a district by rule shall establish the amount of security required to file suit under Section 36.251 challenging a rule or order made by the district, including an appeal of a decision on a permit application.  Except as provided by Subsection (c), the amount of security required under this section may not exceed $100,000.</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security required to be posted by a party to a contested case hearing, other than by the applicant, for the appeal of a decision granting a permit application or permit amendment application under Section 36.251(b) shall be increased by an amount sufficient to cover the applicant's cost to defend the permit or amendment granted by the district against the suit and appeal.  The amount of an increase under this subsection may not exceed $100,000.</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 52.006, Civil Practice and Remedies Code, applies to an appeal from a decision of the district court affirming a district's rule, order, or decision on a permit application.  The amount of security required under this subsection must equal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any civil penalty awarded;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interest for the estimated duration of the suit or appeal;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attorney's fees and costs required for the district to defend against the suit and appeal.</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security required under this section must be filed into the registry of the district court in which the suit is filed.</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suit against a groundwater conservation district that is filed on or after the effective date of this Act.  A suit against a groundwater conservation district that is filed before the effective date of this Act is governed by the law in effect on the date the suit is filed,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