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88R6144 DIO-F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2736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requirements regarding certain student resources provided to public and private school students by a public or private primary or secondary school, institution of higher education, state agency, or public library.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38, Education Code, is amended by adding Section 38.043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38.043.</w:t>
      </w:r>
      <w:r>
        <w:rPr>
          <w:u w:val="single"/>
        </w:rPr>
        <w:t xml:space="preserve"> </w:t>
      </w:r>
      <w:r>
        <w:rPr>
          <w:u w:val="single"/>
        </w:rPr>
        <w:t xml:space="preserve"> </w:t>
      </w:r>
      <w:r>
        <w:rPr>
          <w:u w:val="single"/>
        </w:rPr>
        <w:t xml:space="preserve">REQUIREMENTS REGARDING CERTAIN STUDENT RESOURCES.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"Library"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public library or a library system, as defined by Section 441.122, Government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library operated by an institution of higher education, a school district, or an open-enrollment charter school;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library operated by a state agency or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"Provider" means a person, including a vendor, who provides student resources.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 means a child enrolled as a student in prekindergarten through 12th grade in a public or private school in this state.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"Student resources" means physical, digital, or online library resources, access to databases, and curriculum and supportive materials for use by a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open-enrollment charter school, private school, institution of higher education, state agency, or library may not provide student resources to a student unless the resource has been verified by the provider of the resource for compliance with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provider shall adopt safety policies and technology protections to verify that the student resources the provider provides to a school district, open-enrollment charter school, private school, institution of higher education, state agency, or library: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 not contain or allow access to a communication, written description, photographic image, video image, or audio file, that relates to, depicts, or describes: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material or performance that is obscene, as defined by Section 43.21,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 pornography, as described by Section 43.26, Penal Code;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sexual exploitation, as defined by Section 81.001, Civil Practice and Remedies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allow a student to receive, send, upload, or download a communication, written description, photographic image, video image, or audio file described by Subdivision (1);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filter or block a student's access to an item  described by Subdivisions (1) and (2).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Before providing any student resources to a school district, open-enrollment charter school, private school, institution of higher education, state agency, or library, a provider shall notify the receiving entity regarding whether those student resources comply with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contract between a provider and a school district, open-enrollment charter school, private school, institution of higher education, state agency, or library for the provision of student resources is in effect, failure by a provider to comply with Subsections (c) and (d) entitles the representative of a school district, open-enrollment charter school, private school, institution of higher education, state agency, or library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terminate the contract for nonperformance or breach of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withhold any further payments, if any, to the provider pending verification and notice of compliance with Subsections (c) and (d).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may not be construed to limit or otherwise affect a person's criminal liability under other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of each year, each entity that receives "student resources" from a "provider," as those terms are defined by Section 38.043, Education Code, as added by this Act, shall report to the legislature regarding any issues with provider compliance related to the requirements of that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