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88R311 JRR-F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vehicle or combination of vehicles on a state highway or farm or ranch road at a weight that exceeds the maximum weight authorized for the road; imposing a criminal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621.102, Transportation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(d), a person may not operate a vehicle or combination of vehicles on a road for which the executive director of the Texas Department of Transportation has set a maximum weight under this section if the weight of the vehicle or combination of vehicles exceeds the maximum weight set by the executive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621.506(a),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operates a vehicle or combination of vehicles in violation of Section 621.101, </w:t>
      </w:r>
      <w:r>
        <w:rPr>
          <w:u w:val="single"/>
        </w:rPr>
        <w:t xml:space="preserve">621.102,</w:t>
      </w:r>
      <w:r>
        <w:t xml:space="preserve"> 622.012, 622.031, 622.041, 622.0435, 622.051, 622.061, 622.133, 622.953, or 623.162;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loads a vehicle or causes a vehicle to be loaded in violation of Section 621.503.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