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88R3484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and composition of the Specialty Courts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772.0061(a)(2),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"Specialty court"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commercially sexually exploited persons court program established under Chapter 126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family drug court program established under Chapter 122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drug court program established under Chapter 123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veterans treatment court program established under Chapter 124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mental health court program established under Chapter 125 or former law;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public safety employees treatment court program established under Chapter 129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family drug court program established under Chapter 130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772.0061(b)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shall establish the Specialty Courts Advisory Council within the criminal justice division established under Section 772.006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evaluate applications for grant funding for specialty courts in this state and to make funding recommendations to the criminal justice division;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 recommendations to </w:t>
      </w:r>
      <w:r>
        <w:rPr>
          <w:u w:val="single"/>
        </w:rPr>
        <w:t xml:space="preserve">the Texas Judicial Council, the Office of Court Administration of the Texas Judicial System, and</w:t>
      </w:r>
      <w:r>
        <w:t xml:space="preserve"> the criminal justice division regarding best practices for specialty courts established under Chapter 122, 123, 124, 125, [</w:t>
      </w:r>
      <w:r>
        <w:rPr>
          <w:strike/>
        </w:rPr>
        <w:t xml:space="preserve">or</w:t>
      </w:r>
      <w:r>
        <w:t xml:space="preserve">] 129</w:t>
      </w:r>
      <w:r>
        <w:rPr>
          <w:u w:val="single"/>
        </w:rPr>
        <w:t xml:space="preserve">, or 130,</w:t>
      </w:r>
      <w:r>
        <w:t xml:space="preserve"> or former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council is composed of nine members appointed by the governor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four members, each of whom has</w:t>
      </w:r>
      <w:r>
        <w:t xml:space="preserve"> [</w:t>
      </w:r>
      <w:r>
        <w:rPr>
          <w:strike/>
        </w:rPr>
        <w:t xml:space="preserve">one member with</w:t>
      </w:r>
      <w:r>
        <w:t xml:space="preserve">] experience as the judge of </w:t>
      </w:r>
      <w:r>
        <w:rPr>
          <w:u w:val="single"/>
        </w:rPr>
        <w:t xml:space="preserve">at least one</w:t>
      </w:r>
      <w:r>
        <w:t xml:space="preserve"> [</w:t>
      </w:r>
      <w:r>
        <w:rPr>
          <w:strike/>
        </w:rPr>
        <w:t xml:space="preserve">a</w:t>
      </w:r>
      <w:r>
        <w:t xml:space="preserve">] specialty court described by Subsection </w:t>
      </w:r>
      <w:r>
        <w:rPr>
          <w:u w:val="single"/>
        </w:rPr>
        <w:t xml:space="preserve">(a)(2)</w:t>
      </w:r>
      <w:r>
        <w:t xml:space="preserve"> [</w:t>
      </w:r>
      <w:r>
        <w:rPr>
          <w:strike/>
        </w:rPr>
        <w:t xml:space="preserve">(a)(2)(A)</w:t>
      </w:r>
      <w:r>
        <w:t xml:space="preserve">];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one member with experience as the judge of a specialty court described by Subsection (a)(2)(B);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with experience as the judge of a specialty court described by Subsection (a)(2)(C);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with experience as the judge of a specialty court described by Subsection (a)(2)(D);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five members who represent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