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88R19368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et al.</w:t>
      </w:r>
      <w:r xml:space="preserve">
        <w:tab wTab="150" tlc="none" cTlc="0"/>
      </w:r>
      <w:r>
        <w:t xml:space="preserve">H.B.</w:t>
      </w:r>
      <w:r xml:space="preserve">
        <w:t> </w:t>
      </w:r>
      <w:r>
        <w:t xml:space="preserve">No.</w:t>
      </w:r>
      <w:r xml:space="preserve">
        <w:t> </w:t>
      </w:r>
      <w:r>
        <w:t xml:space="preserve">2744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2744:</w:t>
      </w: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C.S.H.B.</w:t>
      </w:r>
      <w:r xml:space="preserve">
        <w:t> </w:t>
      </w:r>
      <w:r>
        <w:t xml:space="preserve">No.</w:t>
      </w:r>
      <w:r xml:space="preserve">
        <w:t> </w:t>
      </w:r>
      <w:r>
        <w:t xml:space="preserve">2744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transfer of certain semiautomatic rifles to certain recipients;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by amending Subsections (a), (c), and (d) and adding Subsection (c-1)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to </w:t>
      </w:r>
      <w:r>
        <w:rPr>
          <w:u w:val="single"/>
        </w:rPr>
        <w:t xml:space="preserve">a</w:t>
      </w:r>
      <w:r>
        <w:t xml:space="preserve"> </w:t>
      </w:r>
      <w:r>
        <w:t xml:space="preserve">[</w:t>
      </w:r>
      <w:r>
        <w:rPr>
          <w:strike/>
        </w:rPr>
        <w:t xml:space="preserve">any</w:t>
      </w:r>
      <w:r>
        <w:t xml:space="preserve">] child younger than 18 years of age </w:t>
      </w:r>
      <w:r>
        <w:rPr>
          <w:u w:val="single"/>
        </w:rPr>
        <w:t xml:space="preserve">a</w:t>
      </w:r>
      <w:r>
        <w:t xml:space="preserve"> </w:t>
      </w:r>
      <w:r>
        <w:t xml:space="preserve">[</w:t>
      </w:r>
      <w:r>
        <w:rPr>
          <w:strike/>
        </w:rPr>
        <w:t xml:space="preserve">any firearm,</w:t>
      </w:r>
      <w:r>
        <w:t xml:space="preserve">] club, [</w:t>
      </w:r>
      <w:r>
        <w:rPr>
          <w:strike/>
        </w:rPr>
        <w:t xml:space="preserve">or</w:t>
      </w:r>
      <w:r>
        <w:t xml:space="preserve">] location-restricted knife</w:t>
      </w:r>
      <w:r>
        <w:rPr>
          <w:u w:val="single"/>
        </w:rPr>
        <w:t xml:space="preserve">, or firearm other than a semiautomatic rifle described by Paragraph (B);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a person younger than 21 years of age a semiautomatic rifle that is capable of accepting a detachable magazine and that has a caliber greater than .22</w:t>
      </w:r>
      <w:r>
        <w:t xml:space="preserv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 or</w:t>
      </w:r>
    </w:p>
    <w:p w:rsidR="003F3435" w:rsidRDefault="0032493E">
      <w:pPr>
        <w:spacing w:line="480" w:lineRule="auto"/>
        <w:ind w:firstLine="1440"/>
        <w:jc w:val="both"/>
      </w:pPr>
      <w:r>
        <w:t xml:space="preserve">(7)</w:t>
      </w:r>
      <w:r xml:space="preserve">
        <w:t> </w:t>
      </w:r>
      <w:r xml:space="preserve">
        <w:t> </w:t>
      </w:r>
      <w:r>
        <w:t xml:space="preserve">while prohibited from possessing a firearm under state or federal law, knowingly makes a material false statement on a form that is:</w:t>
      </w:r>
    </w:p>
    <w:p w:rsidR="003F3435" w:rsidRDefault="0032493E">
      <w:pPr>
        <w:spacing w:line="480" w:lineRule="auto"/>
        <w:ind w:firstLine="2160"/>
        <w:jc w:val="both"/>
      </w:pPr>
      <w:r>
        <w:t xml:space="preserve">(A)</w:t>
      </w:r>
      <w:r xml:space="preserve">
        <w:t> </w:t>
      </w:r>
      <w:r xml:space="preserve">
        <w:t> </w:t>
      </w:r>
      <w:r>
        <w:t xml:space="preserve">required by state or federal law for the purchase, sale, or other transfer of a firearm; and</w:t>
      </w:r>
    </w:p>
    <w:p w:rsidR="003F3435" w:rsidRDefault="0032493E">
      <w:pPr>
        <w:spacing w:line="480" w:lineRule="auto"/>
        <w:ind w:firstLine="2160"/>
        <w:jc w:val="both"/>
      </w:pPr>
      <w:r>
        <w:t xml:space="preserve">(B)</w:t>
      </w:r>
      <w:r xml:space="preserve">
        <w:t> </w:t>
      </w:r>
      <w:r xml:space="preserve">
        <w:t> </w:t>
      </w:r>
      <w:r>
        <w:t xml:space="preserve">submitted to a [</w:t>
      </w:r>
      <w:r>
        <w:rPr>
          <w:strike/>
        </w:rPr>
        <w:t xml:space="preserve">licensed</w:t>
      </w:r>
      <w:r>
        <w:t xml:space="preserve">] firearms dealer </w:t>
      </w:r>
      <w:r>
        <w:rPr>
          <w:u w:val="single"/>
        </w:rPr>
        <w:t xml:space="preserve">licensed under</w:t>
      </w:r>
      <w:r>
        <w:t xml:space="preserve">[</w:t>
      </w:r>
      <w:r>
        <w:rPr>
          <w:strike/>
        </w:rPr>
        <w:t xml:space="preserve">, as defined by</w:t>
      </w:r>
      <w:r>
        <w:t xml:space="preserve">] 18 U.S.C. Section 923.</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w:t>
      </w:r>
      <w:r>
        <w:rPr>
          <w:u w:val="single"/>
        </w:rPr>
        <w:t xml:space="preserve">(a)(2)(A)</w:t>
      </w:r>
      <w:r>
        <w:t xml:space="preserve"> [</w:t>
      </w:r>
      <w:r>
        <w:rPr>
          <w:strike/>
        </w:rPr>
        <w:t xml:space="preserve">(a)(2)</w:t>
      </w:r>
      <w:r>
        <w:t xml:space="preserve">] that the transfer was to a minor whose parent or the person having legal custody of the minor had given written permission for the sale or, if the transfer was other than a sale, the parent or person having legal custody had given effective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It is an exception to the application of Subsection (a)(2)(B)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semiautomatic rifle is transferred to a recipient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peace officer;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currently serving in or has been honorably discharged from the United States armed forces;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 of the semiautomatic rifle is a temporary loan to a person who is to carry or use the semiautomatic rifle only:</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while in the presence of the transferor;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while on property owned or leased by the transferor;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the premises of a sport shooting range, as defined by Section 250.001, Local Government Code, and solely for the purpose of shooting targets at the range;</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the purpose of lawful hunting or sporting, or for lawful recreational activity;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at a lawful competition involving the use of a firearm.</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p>
    <w:p w:rsidR="003F3435" w:rsidRDefault="0032493E">
      <w:pPr>
        <w:spacing w:line="480" w:lineRule="auto"/>
        <w:ind w:firstLine="1440"/>
        <w:jc w:val="both"/>
      </w:pPr>
      <w:r>
        <w:t xml:space="preserve">(1)</w:t>
      </w:r>
      <w:r xml:space="preserve">
        <w:t> </w:t>
      </w:r>
      <w:r xml:space="preserve">
        <w:t> </w:t>
      </w:r>
      <w:r>
        <w:t xml:space="preserve">an offense under Subsection </w:t>
      </w:r>
      <w:r>
        <w:rPr>
          <w:u w:val="single"/>
        </w:rPr>
        <w:t xml:space="preserve">(a)(2)(A)</w:t>
      </w:r>
      <w:r>
        <w:t xml:space="preserve"> [</w:t>
      </w:r>
      <w:r>
        <w:rPr>
          <w:strike/>
        </w:rPr>
        <w:t xml:space="preserve">(a)(2)</w:t>
      </w:r>
      <w:r>
        <w:t xml:space="preserve">] is a state jail felony if the weapon that is the subject of the offense is a handgun; and</w:t>
      </w:r>
    </w:p>
    <w:p w:rsidR="003F3435" w:rsidRDefault="0032493E">
      <w:pPr>
        <w:spacing w:line="480" w:lineRule="auto"/>
        <w:ind w:firstLine="1440"/>
        <w:jc w:val="both"/>
      </w:pPr>
      <w:r>
        <w:t xml:space="preserve">(2)</w:t>
      </w:r>
      <w:r xml:space="preserve">
        <w:t> </w:t>
      </w:r>
      <w:r xml:space="preserve">
        <w:t> </w:t>
      </w:r>
      <w:r>
        <w:t xml:space="preserve">an offense under Subsection </w:t>
      </w:r>
      <w:r>
        <w:rPr>
          <w:u w:val="single"/>
        </w:rPr>
        <w:t xml:space="preserve">(a)(2)(B) or</w:t>
      </w:r>
      <w:r>
        <w:t xml:space="preserve"> (a)(7)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