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88R13001 SCL-D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Romero, Jr.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2750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notice signs for certain changes in zoning classification in home-rule municipalities.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211, Local Government Code, is amended by adding Section 211.0073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211.0073.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NOTICE SIGN REQUIREMENT FOR CERTAIN ZONING CHANGES IN HOME-RULE MUNICIPALITIES.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Not later than the 10th day before the date the zoning commission of a home-rule municipality holds a hearing on a proposed change in zoning classification that does not apply to the whole municipality, the zoning commission shall post a notice sign in accordance with this section 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property affected by the change;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public right-of-way for a change initiated by the municipality that affects multiple properties.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zoning commission may determine the notice sign's size, contents, duration of posting, and removal.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zoning commission may elect to provide, maintain, and pay for a notice sign under this section or require an applicant for a change in zoning classification to provide, maintain, and pay for the sign.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Notice requirements prescribed under this section are in addition to notice required by Section 211.007.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211.0073, Local Government Code, as added by this Act, applies only to a proposal to change a zoning classification made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2750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