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88R21747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2752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2752:</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2752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Texas Department of Insurance to adopt rules that implement or are based on certain environmental, social, and governance models, ratings, or standards.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36.004, Insurance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For purposes of </w:t>
      </w:r>
      <w:r>
        <w:rPr>
          <w:u w:val="single"/>
        </w:rPr>
        <w:t xml:space="preserve">Subsections</w:t>
      </w:r>
      <w:r>
        <w:t xml:space="preserve"> [</w:t>
      </w:r>
      <w:r>
        <w:rPr>
          <w:strike/>
        </w:rPr>
        <w:t xml:space="preserve">Subsection</w:t>
      </w:r>
      <w:r>
        <w:t xml:space="preserve">] (a) </w:t>
      </w:r>
      <w:r>
        <w:rPr>
          <w:u w:val="single"/>
        </w:rPr>
        <w:t xml:space="preserve">and (d) of this section and Section 36.008</w:t>
      </w:r>
      <w:r>
        <w:t xml:space="preserve">, a version of a rule, regulation, directive, or standard is expressly authorized by statute if:</w:t>
      </w:r>
    </w:p>
    <w:p w:rsidR="003F3435" w:rsidRDefault="0032493E">
      <w:pPr>
        <w:spacing w:line="480" w:lineRule="auto"/>
        <w:ind w:firstLine="1440"/>
        <w:jc w:val="both"/>
      </w:pPr>
      <w:r>
        <w:t xml:space="preserve">(1)</w:t>
      </w:r>
      <w:r xml:space="preserve">
        <w:t> </w:t>
      </w:r>
      <w:r xml:space="preserve">
        <w:t> </w:t>
      </w:r>
      <w:r>
        <w:t xml:space="preserve">the statute explicitly authorizes the commissioner to adopt rules consistent with the rule, regulation, directive, or standard; or</w:t>
      </w:r>
    </w:p>
    <w:p w:rsidR="003F3435" w:rsidRDefault="0032493E">
      <w:pPr>
        <w:spacing w:line="480" w:lineRule="auto"/>
        <w:ind w:firstLine="1440"/>
        <w:jc w:val="both"/>
      </w:pPr>
      <w:r>
        <w:t xml:space="preserve">(2)</w:t>
      </w:r>
      <w:r xml:space="preserve">
        <w:t> </w:t>
      </w:r>
      <w:r xml:space="preserve">
        <w:t> </w:t>
      </w:r>
      <w:r>
        <w:t xml:space="preserve">that version is the latest version of the rule, regulation, directive, or standard on the date that the statute was enacted.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subsection, "environmental assessment," "social assessment," and "governance assessment" have the meanings assigned by Section 36.008.  Notwithstanding Subsection (c) of this section or any other law, the commissioner may not require an insurer to comply with a rule, regulation, directive, or standard, including an accounting standard, adopted by the National Association of Insurance Commissioners if the rule, regulation, directive, or standard is developed using a model, rating, or standard that measures and considers environmental, social, and governance assessments unless application of the rule, regulation, directive, or standard is expressly authorized by statute.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36, Insurance Code, is amended by adding Section 36.008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36.008.</w:t>
      </w:r>
      <w:r>
        <w:rPr>
          <w:u w:val="single"/>
        </w:rPr>
        <w:t xml:space="preserve"> </w:t>
      </w:r>
      <w:r>
        <w:rPr>
          <w:u w:val="single"/>
        </w:rPr>
        <w:t xml:space="preserve"> </w:t>
      </w:r>
      <w:r>
        <w:rPr>
          <w:u w:val="single"/>
        </w:rPr>
        <w:t xml:space="preserve">RULES IMPLEMENTING CERTAIN ENVIRONMENTAL, SOCIAL, AND GOVERNANCE MODELS, RATINGS, AND STANDARDS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"Environmental assessment" means an assessment of the response by or vulnerability of an entity to climate change, including the extent of the entity's exposure to harm from climate-related factors.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"Governance assessment" means an assessment of the ethical or moral principles that influence the corporate governance of an entity, including the structure and composition of the governing board, ownership structure, employee and officer pay policy, and accounting methodology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assessment" means an assessment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human capital management practices of an entity, including employment practices, employee training and development, employee safety, and the selection of suppliers and vendors based on preferred labor standards;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potential for an entity's products to directly or indirectly cause physical or financial harm to persons or to identified groups of persons, including harm caused by quality control or safety failures and the unintentional or unauthorized release of personal identifying information held by the entity;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entity's willingness to invest its earnings or reserves to improve the quality and safety of the entity's management practices and products and mitigate any negative effect those practices and products may have on consumers and the environment;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factor relating to the social effect of the entity's practices or products, including opposition to those practices and products and their effect on the supply chain.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rule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implements or is based on an interstate, national, or international model, rating, or standard, including an accounting standard, that measures and considers environmental, social, and governance assessments;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protect the environment;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the effect of a particular entity or industry on the environment;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encourage an entity to engage in specific activities or behaviors in response to environmental concerns;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materially affect in an adverse manner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economy of this state or a sector of the economy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productivity and competitiveness of an entity doing business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number of people employed in this state;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and safety of the residents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not adopt or enforce a rule to which this section applies: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was developed by an entity that is not licensed or regulated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National Association of Insurance Commissioners;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of this state or of the federal government, other than an entity described by Paragraph (A) or (B), that regulates the practice of insurance;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may affect the authority of this state to regulate the practice of insurance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adoption or enforcement of which is not specifically authorized by statute.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file an action for declaratory judgment challenging the adoption of a rule on the basis that the rule was adopted in violation of this section.</w:t>
      </w:r>
      <w:r>
        <w:rPr>
          <w:u w:val="single"/>
        </w:rPr>
        <w:t xml:space="preserve"> </w:t>
      </w:r>
      <w:r>
        <w:rPr>
          <w:u w:val="single"/>
        </w:rPr>
        <w:t xml:space="preserve"> </w:t>
      </w:r>
      <w:r>
        <w:rPr>
          <w:u w:val="single"/>
        </w:rPr>
        <w:t xml:space="preserve">An action for declaratory judgment under this section is governed by Section 2001.038, Government Code. </w:t>
      </w:r>
      <w:r>
        <w:rPr>
          <w:u w:val="single"/>
        </w:rPr>
        <w:t xml:space="preserve"> </w:t>
      </w:r>
      <w:r>
        <w:rPr>
          <w:u w:val="single"/>
        </w:rPr>
        <w:t xml:space="preserve">If the court determines that the rule was adopted in violation of this section, the rule is invalid.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proposed rule for which notice is filed with the secretary of state under Section 2001.023, Government Code,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