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88R1879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2772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attorney's fees in cases involving veterinary malpractice or negligence.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Civil Practice and Remedies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claim described by Subsection (b)(6) does not include a claim against a veterinarian, as defined by Section 801.002, Occupations Code, for veterinary malpractice or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award of attorney's fees in an action commenced on or after the effective date of this Act.</w:t>
      </w:r>
      <w:r xml:space="preserve">
        <w:t> </w:t>
      </w:r>
      <w:r xml:space="preserve">
        <w:t> </w:t>
      </w:r>
      <w:r>
        <w:t xml:space="preserve">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