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88R8029 JTZ/BDP-F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 district judge and the associated retirement benefits of certain other elected state officials.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w:t>
      </w:r>
      <w:r>
        <w:rPr>
          <w:u w:val="single"/>
        </w:rPr>
        <w:t xml:space="preserve">$172,494</w:t>
      </w:r>
      <w:r>
        <w:t xml:space="preserve"> [</w:t>
      </w:r>
      <w:r>
        <w:rPr>
          <w:strike/>
        </w:rPr>
        <w:t xml:space="preserve">$140,000</w:t>
      </w:r>
      <w:r>
        <w:t xml:space="preserve">],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$140,000</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659.012(a), Government Code, as amended by this Act,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the purpose of calculating any other judicial salaries by reference to that section for the state fiscal year beginning September 1, 2023, and ending August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814.103(a), Government Code, as amended by this Act, applies only to a member of the elected class of the Employees Retirement System of Texas who retires on or after the effective date of this Act. </w:t>
      </w:r>
      <w:r>
        <w:t xml:space="preserve"> </w:t>
      </w:r>
      <w:r>
        <w:t xml:space="preserve">A member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