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stay of proceedings pending an interlocutory appeal of a denial of a motion to dismiss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 Civil Practice and Remedies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 is not subject to the automatic stay under Subsection (b) if the order denying the motion states that the motion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denied as not timely filed under Section 27.003(b);</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denied because the action is exempt under Section 27.010(a).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filed on or after the effective date of this Act. </w:t>
      </w:r>
      <w:r>
        <w:t xml:space="preserve"> </w:t>
      </w:r>
      <w:r>
        <w:t xml:space="preserve">An action filed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