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2786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limitation on liability in certain suits concerning damages arising from acts or omissions involving a jail or detention facility owned or operated by a county or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101.023, Civil Practice and Remedies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Liability of a county or municipality under this chapter is limited to money damages and attorney's fees in a maximum amount of $500,000, without regard to the number of claims or claimants,</w:t>
      </w:r>
      <w:r>
        <w:rPr>
          <w:u w:val="single"/>
        </w:rPr>
        <w:t xml:space="preserve"> in a suit concerning the actions or omissions of a keeper, operator, or employee of a jail or detention facility owned or operated by a county or municipality if the suit alleges the damages were caused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failure to protect;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failure to provide medical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condition of confinement;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failure to train employees.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101.023(e), Civil Practice and Remedies Code, as added by this Act, applies as applicable to a suit that is filed on or after the effective date of this Act. </w:t>
      </w:r>
      <w:r>
        <w:t xml:space="preserve"> </w:t>
      </w:r>
      <w:r>
        <w:t xml:space="preserve">A suit filed before the effective date of this Act is governed by the applicable law in effect before the effective date of this Act, and the former law is continued in effect for this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