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Bucy</w:t>
      </w:r>
      <w:r xml:space="preserve">
        <w:tab wTab="150" tlc="none" cTlc="0"/>
      </w:r>
      <w:r>
        <w:t xml:space="preserve">H.B.</w:t>
      </w:r>
      <w:r xml:space="preserve">
        <w:t> </w:t>
      </w:r>
      <w:r>
        <w:t xml:space="preserve">No.</w:t>
      </w:r>
      <w:r xml:space="preserve">
        <w:t> </w:t>
      </w:r>
      <w:r>
        <w:t xml:space="preserve">2795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amendment of an existing comprehensive development agreement for a portion of State Highway 130.</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223.208, Transportation Code, is amended by adding Subsections (i) and (j)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September 1, 2024, and notwithstanding Subsection (h), the department shall amend a comprehensive development agreement entered into on or before March 22, 2007, for State Highway 130 from U.S. Highway 183 to Interstate Highway 10 (Segments 5 and 6) to extend the term of the agreement for up to 20 additional years if the amendment: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outlines the benefit the state will derive from extending the term;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private participant to provide funds to the department not later than December 31, 2024, in an amount agreed to by the department and the private participant in accordance with the requirements of the amendment.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funds received under Subsection (i)(2) must be used by the department, or on behalf of the department using the department's procurement process, for the design, financing, and construction of a nontolled connector between Interstate Highway 35 and State Highway 130 to be located wholly or partly in a county in which the project that is the subject of the comprehensive development agreement described by Subsection (i) is located. </w:t>
      </w:r>
      <w:r>
        <w:rPr>
          <w:u w:val="single"/>
        </w:rPr>
        <w:t xml:space="preserve"> </w:t>
      </w:r>
      <w:r>
        <w:rPr>
          <w:u w:val="single"/>
        </w:rPr>
        <w:t xml:space="preserve">The connector shall be owned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