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2795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amendment of an existing comprehensive development agreement for a portion of State Highway 130.</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223.208, Transportation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September 1, 2024, and notwithstanding Subsection (h), the department shall amend a comprehensive development agreement entered into on or before March 22, 2007, for State Highway 130 from U.S. Highway 183 to Interstate Highway 10 (Segments 5 and 6) to extend the term of the agreement for up to 20 additional years if the amendment: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outlines the benefit the state will derive from extending the term;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private participant to provide funds to the department not later than December 31, 2024, in an amount agreed to by the department and the private participant in accordance with the requirements of the amendment.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funds received under Subsection (i)(2) must be used by the department, or on behalf of the department using the department's procurement process, for the design, financing, and construction of a nontolled connector between Interstate Highway 35 and State Highway 130 to be located wholly or partly in a county in which the project that is the subject of the comprehensive development agreement described by Subsection (i) is located. </w:t>
      </w:r>
      <w:r>
        <w:rPr>
          <w:u w:val="single"/>
        </w:rPr>
        <w:t xml:space="preserve"> </w:t>
      </w:r>
      <w:r>
        <w:rPr>
          <w:u w:val="single"/>
        </w:rPr>
        <w:t xml:space="preserve">The connector shall be owned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