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88R2135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2797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laparoscopic removal of uterine fibroids.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COVERAGE FOR LAPAROSCOPIC REMOVAL OF UTERINE FIBROIDS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COVERAGE REQUIRED.  A health benefit plan that provides coverage for hysterectomy or myomectomy must provide coverage for laparoscopic removal of uterine fibroids, including intraoperative ultrasound guidance and monitoring and radiofrequency ablation.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1372,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