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88R8435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restroom access for pregnant persons in retail establishments.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341.069(a)(2),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"Eligible medical condition" means Crohn's disease, ulcerative colitis, irritable bowel syndrome, </w:t>
      </w:r>
      <w:r>
        <w:rPr>
          <w:u w:val="single"/>
        </w:rPr>
        <w:t xml:space="preserve">pregnancy,</w:t>
      </w:r>
      <w:r>
        <w:t xml:space="preserve"> or any other permanent or temporary medical condition that requires immediate access to a toilet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