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88R7850 PRL-F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2800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of a county election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51.002, Election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of the county election board shall be held in person and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48 hours before each meeting of the county election board, the county clerk shall post notice of the meeting on the county's Internet website, if the county maintains a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